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Style w:val="5"/>
          <w:rFonts w:hint="eastAsia"/>
          <w:lang w:eastAsia="zh-CN"/>
        </w:rPr>
      </w:pPr>
      <w:r>
        <w:rPr>
          <w:rStyle w:val="5"/>
          <w:rFonts w:hint="eastAsia"/>
        </w:rPr>
        <w:t>第四师73团-拜什墩农场-G218公路</w:t>
      </w:r>
      <w:r>
        <w:rPr>
          <w:rStyle w:val="5"/>
          <w:rFonts w:hint="eastAsia"/>
          <w:lang w:eastAsia="zh-CN"/>
        </w:rPr>
        <w:t>勘察</w:t>
      </w:r>
      <w:r>
        <w:rPr>
          <w:rStyle w:val="5"/>
          <w:rFonts w:hint="eastAsia"/>
        </w:rPr>
        <w:t>设计</w:t>
      </w:r>
      <w:r>
        <w:rPr>
          <w:rStyle w:val="5"/>
          <w:rFonts w:hint="eastAsia"/>
          <w:lang w:eastAsia="zh-CN"/>
        </w:rPr>
        <w:t>招标</w:t>
      </w:r>
    </w:p>
    <w:p>
      <w:pPr>
        <w:spacing w:line="440" w:lineRule="exact"/>
        <w:rPr>
          <w:rFonts w:hint="eastAsia" w:eastAsia="黑体"/>
          <w:sz w:val="28"/>
          <w:szCs w:val="28"/>
          <w:lang w:eastAsia="zh-CN"/>
        </w:rPr>
      </w:pPr>
      <w:r>
        <w:rPr>
          <w:rStyle w:val="5"/>
          <w:rFonts w:hint="eastAsia"/>
          <w:lang w:eastAsia="zh-CN"/>
        </w:rPr>
        <w:t>资格审查条件</w:t>
      </w:r>
      <w:r>
        <w:rPr>
          <w:rFonts w:hint="eastAsia" w:eastAsia="黑体"/>
          <w:sz w:val="28"/>
          <w:szCs w:val="28"/>
          <w:lang w:eastAsia="zh-CN"/>
        </w:rPr>
        <w:t>：</w:t>
      </w:r>
    </w:p>
    <w:p>
      <w:pPr>
        <w:adjustRightInd w:val="0"/>
        <w:snapToGrid w:val="0"/>
        <w:spacing w:line="300" w:lineRule="exact"/>
        <w:jc w:val="center"/>
        <w:rPr>
          <w:rFonts w:eastAsia="黑体"/>
          <w:b/>
          <w:sz w:val="28"/>
          <w:szCs w:val="28"/>
        </w:rPr>
      </w:pPr>
    </w:p>
    <w:p>
      <w:pPr>
        <w:adjustRightInd w:val="0"/>
        <w:snapToGrid w:val="0"/>
        <w:spacing w:line="300" w:lineRule="exact"/>
        <w:jc w:val="center"/>
        <w:rPr>
          <w:rFonts w:eastAsia="黑体"/>
          <w:b/>
          <w:sz w:val="28"/>
          <w:szCs w:val="28"/>
        </w:rPr>
      </w:pPr>
      <w:r>
        <w:rPr>
          <w:rFonts w:eastAsia="黑体"/>
          <w:b/>
          <w:sz w:val="28"/>
          <w:szCs w:val="28"/>
        </w:rPr>
        <w:t>附录1  资格审查条</w:t>
      </w:r>
      <w:bookmarkStart w:id="1" w:name="_GoBack"/>
      <w:bookmarkEnd w:id="1"/>
      <w:r>
        <w:rPr>
          <w:rFonts w:eastAsia="黑体"/>
          <w:b/>
          <w:sz w:val="28"/>
          <w:szCs w:val="28"/>
        </w:rPr>
        <w:t>件(资质最低条件)</w:t>
      </w:r>
    </w:p>
    <w:p>
      <w:pPr>
        <w:adjustRightInd w:val="0"/>
        <w:snapToGrid w:val="0"/>
        <w:spacing w:line="300" w:lineRule="auto"/>
        <w:rPr>
          <w:rFonts w:hint="eastAsia" w:eastAsia="隶书"/>
          <w:b/>
          <w:sz w:val="32"/>
        </w:rPr>
      </w:pPr>
    </w:p>
    <w:tbl>
      <w:tblPr>
        <w:tblStyle w:val="6"/>
        <w:tblW w:w="7708"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0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3" w:hRule="atLeast"/>
          <w:jc w:val="center"/>
        </w:trPr>
        <w:tc>
          <w:tcPr>
            <w:tcW w:w="7708" w:type="dxa"/>
            <w:vAlign w:val="center"/>
          </w:tcPr>
          <w:p>
            <w:pPr>
              <w:adjustRightInd w:val="0"/>
              <w:snapToGrid w:val="0"/>
              <w:spacing w:line="400" w:lineRule="atLeast"/>
              <w:jc w:val="center"/>
              <w:rPr>
                <w:color w:val="000000"/>
              </w:rPr>
            </w:pPr>
            <w:r>
              <w:rPr>
                <w:color w:val="000000"/>
              </w:rPr>
              <w:t>勘察设计企业资质等级要求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453" w:hRule="atLeast"/>
          <w:jc w:val="center"/>
        </w:trPr>
        <w:tc>
          <w:tcPr>
            <w:tcW w:w="7708" w:type="dxa"/>
            <w:vAlign w:val="center"/>
          </w:tcPr>
          <w:p>
            <w:pPr>
              <w:adjustRightInd w:val="0"/>
              <w:snapToGrid w:val="0"/>
              <w:spacing w:line="400" w:lineRule="atLeast"/>
              <w:ind w:firstLine="420" w:firstLineChars="200"/>
              <w:rPr>
                <w:rFonts w:hint="eastAsia"/>
                <w:color w:val="000000"/>
              </w:rPr>
            </w:pPr>
            <w:r>
              <w:rPr>
                <w:rFonts w:hint="eastAsia"/>
                <w:color w:val="000000"/>
                <w:lang w:eastAsia="zh-CN"/>
              </w:rPr>
              <w:t>具备</w:t>
            </w:r>
            <w:r>
              <w:rPr>
                <w:rFonts w:hint="eastAsia"/>
                <w:color w:val="000000"/>
              </w:rPr>
              <w:t>独立法人资格，具</w:t>
            </w:r>
            <w:r>
              <w:rPr>
                <w:rFonts w:hint="eastAsia"/>
                <w:color w:val="000000"/>
                <w:lang w:eastAsia="zh-CN"/>
              </w:rPr>
              <w:t>有</w:t>
            </w:r>
            <w:r>
              <w:rPr>
                <w:rFonts w:hint="eastAsia"/>
                <w:color w:val="000000"/>
              </w:rPr>
              <w:t>工程咨询公路专业</w:t>
            </w:r>
            <w:r>
              <w:rPr>
                <w:rFonts w:hint="eastAsia"/>
                <w:color w:val="000000"/>
                <w:lang w:eastAsia="zh-CN"/>
              </w:rPr>
              <w:t>乙</w:t>
            </w:r>
            <w:r>
              <w:rPr>
                <w:rFonts w:hint="eastAsia"/>
                <w:color w:val="000000"/>
              </w:rPr>
              <w:t>级</w:t>
            </w:r>
            <w:r>
              <w:rPr>
                <w:rFonts w:hint="eastAsia"/>
                <w:color w:val="000000"/>
                <w:lang w:eastAsia="zh-CN"/>
              </w:rPr>
              <w:t>（及以上）</w:t>
            </w:r>
            <w:r>
              <w:rPr>
                <w:rFonts w:hint="eastAsia"/>
                <w:color w:val="000000"/>
              </w:rPr>
              <w:t>资质、工程勘察专业类（工程测量）乙级</w:t>
            </w:r>
            <w:r>
              <w:rPr>
                <w:rFonts w:hint="eastAsia"/>
                <w:color w:val="000000"/>
                <w:lang w:eastAsia="zh-CN"/>
              </w:rPr>
              <w:t>（及以上）</w:t>
            </w:r>
            <w:r>
              <w:rPr>
                <w:rFonts w:hint="eastAsia"/>
                <w:color w:val="000000"/>
              </w:rPr>
              <w:t>资质和工程设计公路行业（公路）甲级资质；</w:t>
            </w:r>
          </w:p>
        </w:tc>
      </w:tr>
    </w:tbl>
    <w:p>
      <w:pPr>
        <w:adjustRightInd w:val="0"/>
        <w:snapToGrid w:val="0"/>
        <w:spacing w:line="300" w:lineRule="exact"/>
        <w:rPr>
          <w:rFonts w:eastAsia="隶书"/>
          <w:b/>
          <w:sz w:val="32"/>
        </w:rPr>
      </w:pPr>
    </w:p>
    <w:p>
      <w:pPr>
        <w:adjustRightInd w:val="0"/>
        <w:snapToGrid w:val="0"/>
        <w:spacing w:line="300" w:lineRule="exact"/>
        <w:rPr>
          <w:rFonts w:eastAsia="隶书"/>
          <w:b/>
          <w:sz w:val="32"/>
        </w:rPr>
      </w:pPr>
    </w:p>
    <w:p>
      <w:pPr>
        <w:adjustRightInd w:val="0"/>
        <w:snapToGrid w:val="0"/>
        <w:spacing w:line="300" w:lineRule="exact"/>
        <w:rPr>
          <w:rFonts w:eastAsia="隶书"/>
          <w:b/>
          <w:sz w:val="32"/>
        </w:rPr>
      </w:pPr>
    </w:p>
    <w:p>
      <w:pPr>
        <w:adjustRightInd w:val="0"/>
        <w:snapToGrid w:val="0"/>
        <w:spacing w:line="300" w:lineRule="exact"/>
        <w:jc w:val="center"/>
        <w:rPr>
          <w:rFonts w:eastAsia="黑体"/>
          <w:b/>
          <w:sz w:val="28"/>
          <w:szCs w:val="28"/>
        </w:rPr>
      </w:pPr>
      <w:r>
        <w:rPr>
          <w:rFonts w:eastAsia="隶书"/>
          <w:b/>
          <w:sz w:val="32"/>
        </w:rPr>
        <w:br w:type="page"/>
      </w:r>
      <w:r>
        <w:rPr>
          <w:rFonts w:eastAsia="黑体"/>
          <w:b/>
          <w:sz w:val="28"/>
          <w:szCs w:val="28"/>
        </w:rPr>
        <w:t>附录2 资格审查条件(业绩最低要求)</w:t>
      </w:r>
    </w:p>
    <w:p>
      <w:pPr>
        <w:adjustRightInd w:val="0"/>
        <w:snapToGrid w:val="0"/>
        <w:spacing w:line="300" w:lineRule="exact"/>
        <w:jc w:val="center"/>
        <w:rPr>
          <w:rFonts w:eastAsia="黑体"/>
          <w:b/>
          <w:sz w:val="28"/>
          <w:szCs w:val="28"/>
        </w:rPr>
      </w:pPr>
    </w:p>
    <w:p>
      <w:pPr>
        <w:adjustRightInd w:val="0"/>
        <w:snapToGrid w:val="0"/>
        <w:spacing w:line="300" w:lineRule="exact"/>
        <w:rPr>
          <w:rFonts w:hint="eastAsia" w:eastAsia="隶书"/>
          <w:b/>
          <w:sz w:val="32"/>
        </w:rPr>
      </w:pPr>
    </w:p>
    <w:tbl>
      <w:tblPr>
        <w:tblStyle w:val="6"/>
        <w:tblW w:w="7754" w:type="dxa"/>
        <w:jc w:val="center"/>
        <w:tblInd w:w="-659"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5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59" w:hRule="atLeast"/>
          <w:jc w:val="center"/>
        </w:trPr>
        <w:tc>
          <w:tcPr>
            <w:tcW w:w="7754" w:type="dxa"/>
            <w:vAlign w:val="center"/>
          </w:tcPr>
          <w:p>
            <w:pPr>
              <w:adjustRightInd w:val="0"/>
              <w:snapToGrid w:val="0"/>
              <w:spacing w:line="400" w:lineRule="atLeast"/>
              <w:jc w:val="center"/>
              <w:rPr>
                <w:color w:val="000000"/>
              </w:rPr>
            </w:pPr>
            <w:r>
              <w:rPr>
                <w:color w:val="000000"/>
              </w:rPr>
              <w:t>业</w:t>
            </w:r>
            <w:r>
              <w:rPr>
                <w:rFonts w:hint="eastAsia"/>
                <w:color w:val="000000"/>
              </w:rPr>
              <w:t xml:space="preserve"> </w:t>
            </w:r>
            <w:r>
              <w:rPr>
                <w:color w:val="000000"/>
              </w:rPr>
              <w:t>绩</w:t>
            </w:r>
            <w:r>
              <w:rPr>
                <w:rFonts w:hint="eastAsia"/>
                <w:color w:val="000000"/>
              </w:rPr>
              <w:t xml:space="preserve"> </w:t>
            </w:r>
            <w:r>
              <w:rPr>
                <w:color w:val="000000"/>
              </w:rPr>
              <w:t>要</w:t>
            </w:r>
            <w:r>
              <w:rPr>
                <w:rFonts w:hint="eastAsia"/>
                <w:color w:val="000000"/>
              </w:rPr>
              <w:t xml:space="preserve"> </w:t>
            </w:r>
            <w:r>
              <w:rPr>
                <w:color w:val="000000"/>
              </w:rPr>
              <w:t>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221" w:hRule="atLeast"/>
          <w:jc w:val="center"/>
        </w:trPr>
        <w:tc>
          <w:tcPr>
            <w:tcW w:w="7754" w:type="dxa"/>
            <w:vAlign w:val="center"/>
          </w:tcPr>
          <w:p>
            <w:pPr>
              <w:adjustRightInd w:val="0"/>
              <w:snapToGrid w:val="0"/>
              <w:spacing w:line="400" w:lineRule="atLeast"/>
              <w:ind w:firstLine="420" w:firstLineChars="200"/>
              <w:rPr>
                <w:rFonts w:hint="eastAsia" w:ascii="宋体" w:hAnsi="宋体"/>
                <w:color w:val="000000"/>
              </w:rPr>
            </w:pPr>
            <w:r>
              <w:rPr>
                <w:rFonts w:hint="eastAsia"/>
                <w:color w:val="000000"/>
                <w:lang w:eastAsia="zh-CN"/>
              </w:rPr>
              <w:t>近五年（2011年1月1日至投标截止日）独立完成2个二级及以上公路新建（或改扩建）勘察设计工作。</w:t>
            </w:r>
          </w:p>
        </w:tc>
      </w:tr>
    </w:tbl>
    <w:p>
      <w:pPr>
        <w:adjustRightInd w:val="0"/>
        <w:snapToGrid w:val="0"/>
        <w:spacing w:line="300" w:lineRule="exact"/>
        <w:rPr>
          <w:rFonts w:hint="eastAsia" w:eastAsia="隶书"/>
          <w:b/>
          <w:szCs w:val="21"/>
        </w:rPr>
      </w:pPr>
    </w:p>
    <w:p>
      <w:pPr>
        <w:spacing w:line="360" w:lineRule="auto"/>
        <w:rPr>
          <w:rFonts w:hint="eastAsia" w:ascii="宋体" w:hAnsi="宋体"/>
          <w:szCs w:val="21"/>
        </w:rPr>
      </w:pPr>
      <w:r>
        <w:rPr>
          <w:rFonts w:hint="eastAsia" w:ascii="宋体" w:hAnsi="宋体"/>
          <w:szCs w:val="21"/>
        </w:rPr>
        <w:t>注：1、</w:t>
      </w:r>
      <w:r>
        <w:rPr>
          <w:rFonts w:ascii="宋体" w:hAnsi="宋体"/>
          <w:szCs w:val="21"/>
        </w:rPr>
        <w:t>近年来，投标人法人机构发生合法变更或重组或法人名称变更时，应提供相关部门的合法批件或其他相关证明材料来证明其所附业绩的继承性。</w:t>
      </w:r>
    </w:p>
    <w:p>
      <w:pPr>
        <w:spacing w:line="360" w:lineRule="auto"/>
        <w:ind w:firstLine="420" w:firstLineChars="200"/>
        <w:rPr>
          <w:rFonts w:hint="eastAsia" w:ascii="宋体" w:hAnsi="宋体"/>
          <w:szCs w:val="21"/>
        </w:rPr>
      </w:pPr>
      <w:r>
        <w:rPr>
          <w:rFonts w:hint="eastAsia" w:ascii="宋体" w:hAnsi="宋体"/>
          <w:szCs w:val="21"/>
        </w:rPr>
        <w:t>2、</w:t>
      </w:r>
      <w:r>
        <w:rPr>
          <w:rFonts w:ascii="宋体" w:hAnsi="宋体"/>
          <w:szCs w:val="21"/>
        </w:rPr>
        <w:t>本表后应附合同协议书</w:t>
      </w:r>
      <w:r>
        <w:rPr>
          <w:rFonts w:hint="eastAsia" w:ascii="宋体" w:hAnsi="宋体"/>
          <w:szCs w:val="21"/>
        </w:rPr>
        <w:t>或设计委托书的复印件。如果投标人提供的上述证明材料均无法体现出上表要求的建设规模或技术指标（如有），则投标人还需提供其他相关证明材料。</w:t>
      </w:r>
    </w:p>
    <w:p>
      <w:pPr>
        <w:adjustRightInd w:val="0"/>
        <w:snapToGrid w:val="0"/>
        <w:spacing w:line="300" w:lineRule="exact"/>
        <w:rPr>
          <w:rFonts w:hint="eastAsia" w:eastAsia="隶书"/>
          <w:b/>
          <w:sz w:val="32"/>
        </w:rPr>
      </w:pPr>
    </w:p>
    <w:p>
      <w:pPr>
        <w:adjustRightInd w:val="0"/>
        <w:snapToGrid w:val="0"/>
        <w:spacing w:line="300" w:lineRule="exact"/>
        <w:jc w:val="center"/>
        <w:rPr>
          <w:rFonts w:hint="eastAsia" w:eastAsia="黑体"/>
          <w:b/>
          <w:sz w:val="28"/>
          <w:szCs w:val="28"/>
        </w:rPr>
      </w:pPr>
      <w:r>
        <w:rPr>
          <w:szCs w:val="21"/>
        </w:rPr>
        <w:br w:type="page"/>
      </w:r>
      <w:r>
        <w:rPr>
          <w:rFonts w:eastAsia="黑体"/>
          <w:b/>
          <w:sz w:val="28"/>
          <w:szCs w:val="28"/>
        </w:rPr>
        <w:t xml:space="preserve">附录3  资格审查条件(主要人员最低要求) </w:t>
      </w:r>
    </w:p>
    <w:p>
      <w:pPr>
        <w:adjustRightInd w:val="0"/>
        <w:snapToGrid w:val="0"/>
        <w:spacing w:line="300" w:lineRule="exact"/>
        <w:jc w:val="center"/>
        <w:rPr>
          <w:rFonts w:hint="eastAsia" w:eastAsia="黑体"/>
          <w:b/>
          <w:sz w:val="28"/>
          <w:szCs w:val="28"/>
        </w:rPr>
      </w:pPr>
    </w:p>
    <w:tbl>
      <w:tblPr>
        <w:tblStyle w:val="6"/>
        <w:tblW w:w="946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5"/>
        <w:gridCol w:w="2013"/>
        <w:gridCol w:w="702"/>
        <w:gridCol w:w="595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95" w:type="dxa"/>
            <w:vAlign w:val="center"/>
          </w:tcPr>
          <w:p>
            <w:pPr>
              <w:spacing w:line="520" w:lineRule="exact"/>
              <w:jc w:val="center"/>
              <w:rPr>
                <w:rFonts w:hint="eastAsia"/>
                <w:color w:val="000000"/>
              </w:rPr>
            </w:pPr>
            <w:r>
              <w:rPr>
                <w:rFonts w:hint="eastAsia"/>
                <w:color w:val="000000"/>
              </w:rPr>
              <w:t>序号</w:t>
            </w:r>
          </w:p>
        </w:tc>
        <w:tc>
          <w:tcPr>
            <w:tcW w:w="2013" w:type="dxa"/>
            <w:vAlign w:val="center"/>
          </w:tcPr>
          <w:p>
            <w:pPr>
              <w:spacing w:line="520" w:lineRule="exact"/>
              <w:jc w:val="center"/>
              <w:rPr>
                <w:rFonts w:hint="eastAsia"/>
                <w:color w:val="000000"/>
              </w:rPr>
            </w:pPr>
            <w:r>
              <w:rPr>
                <w:rFonts w:hint="eastAsia"/>
                <w:color w:val="000000"/>
              </w:rPr>
              <w:t>人 员</w:t>
            </w:r>
          </w:p>
        </w:tc>
        <w:tc>
          <w:tcPr>
            <w:tcW w:w="702" w:type="dxa"/>
            <w:vAlign w:val="center"/>
          </w:tcPr>
          <w:p>
            <w:pPr>
              <w:spacing w:line="520" w:lineRule="exact"/>
              <w:jc w:val="center"/>
              <w:rPr>
                <w:rFonts w:hint="eastAsia"/>
                <w:color w:val="000000"/>
              </w:rPr>
            </w:pPr>
            <w:r>
              <w:rPr>
                <w:rFonts w:hint="eastAsia"/>
                <w:color w:val="000000"/>
              </w:rPr>
              <w:t>数量</w:t>
            </w:r>
          </w:p>
        </w:tc>
        <w:tc>
          <w:tcPr>
            <w:tcW w:w="5958" w:type="dxa"/>
            <w:vAlign w:val="center"/>
          </w:tcPr>
          <w:p>
            <w:pPr>
              <w:spacing w:line="520" w:lineRule="exact"/>
              <w:jc w:val="center"/>
              <w:rPr>
                <w:rFonts w:hint="eastAsia"/>
                <w:color w:val="000000"/>
              </w:rPr>
            </w:pPr>
            <w:r>
              <w:rPr>
                <w:rFonts w:hint="eastAsia"/>
                <w:color w:val="000000"/>
              </w:rPr>
              <w:t>资质要求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95" w:type="dxa"/>
            <w:vAlign w:val="center"/>
          </w:tcPr>
          <w:p>
            <w:pPr>
              <w:spacing w:line="400" w:lineRule="exact"/>
              <w:jc w:val="center"/>
              <w:rPr>
                <w:rFonts w:hint="eastAsia" w:ascii="宋体" w:hAnsi="宋体"/>
              </w:rPr>
            </w:pPr>
            <w:r>
              <w:rPr>
                <w:rFonts w:hint="eastAsia" w:ascii="宋体" w:hAnsi="宋体"/>
              </w:rPr>
              <w:t>1</w:t>
            </w:r>
          </w:p>
        </w:tc>
        <w:tc>
          <w:tcPr>
            <w:tcW w:w="2013" w:type="dxa"/>
            <w:vAlign w:val="center"/>
          </w:tcPr>
          <w:p>
            <w:pPr>
              <w:spacing w:line="400" w:lineRule="exact"/>
              <w:jc w:val="center"/>
              <w:rPr>
                <w:rFonts w:hint="eastAsia" w:ascii="宋体" w:hAnsi="宋体"/>
              </w:rPr>
            </w:pPr>
            <w:r>
              <w:rPr>
                <w:rFonts w:hint="eastAsia" w:ascii="宋体" w:hAnsi="宋体"/>
              </w:rPr>
              <w:t>项目负责人</w:t>
            </w:r>
          </w:p>
        </w:tc>
        <w:tc>
          <w:tcPr>
            <w:tcW w:w="702" w:type="dxa"/>
            <w:vAlign w:val="center"/>
          </w:tcPr>
          <w:p>
            <w:pPr>
              <w:spacing w:line="400" w:lineRule="exact"/>
              <w:jc w:val="center"/>
              <w:rPr>
                <w:rFonts w:hint="eastAsia" w:ascii="宋体" w:hAnsi="宋体"/>
              </w:rPr>
            </w:pPr>
            <w:r>
              <w:rPr>
                <w:rFonts w:hint="eastAsia" w:ascii="宋体" w:hAnsi="宋体"/>
              </w:rPr>
              <w:t>1</w:t>
            </w:r>
          </w:p>
        </w:tc>
        <w:tc>
          <w:tcPr>
            <w:tcW w:w="5958" w:type="dxa"/>
            <w:vAlign w:val="center"/>
          </w:tcPr>
          <w:p>
            <w:pPr>
              <w:spacing w:line="320" w:lineRule="exact"/>
              <w:rPr>
                <w:rFonts w:hint="eastAsia" w:ascii="宋体" w:hAnsi="宋体"/>
                <w:spacing w:val="-10"/>
              </w:rPr>
            </w:pPr>
            <w:r>
              <w:rPr>
                <w:rFonts w:hint="eastAsia" w:ascii="宋体" w:hAnsi="宋体"/>
              </w:rPr>
              <w:t>公路工程相关专业工程师及以上职称，具有10年以上（含10年）公路勘察设计工作经验，近5年（2011年1月1日至投标截止日）内至少担任过1个二级及以上公路新建（或改扩建）项目勘察设计工作的项目负责人或分项负责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95" w:type="dxa"/>
            <w:vAlign w:val="center"/>
          </w:tcPr>
          <w:p>
            <w:pPr>
              <w:spacing w:line="400" w:lineRule="exact"/>
              <w:jc w:val="center"/>
              <w:rPr>
                <w:rFonts w:hint="eastAsia" w:ascii="宋体" w:hAnsi="宋体"/>
              </w:rPr>
            </w:pPr>
            <w:r>
              <w:rPr>
                <w:rFonts w:hint="eastAsia" w:ascii="宋体" w:hAnsi="宋体"/>
              </w:rPr>
              <w:t>2</w:t>
            </w:r>
          </w:p>
        </w:tc>
        <w:tc>
          <w:tcPr>
            <w:tcW w:w="2013" w:type="dxa"/>
            <w:vAlign w:val="center"/>
          </w:tcPr>
          <w:p>
            <w:pPr>
              <w:spacing w:line="400" w:lineRule="exact"/>
              <w:jc w:val="center"/>
              <w:rPr>
                <w:rFonts w:hint="eastAsia" w:ascii="宋体" w:hAnsi="宋体"/>
              </w:rPr>
            </w:pPr>
            <w:r>
              <w:rPr>
                <w:rFonts w:hint="eastAsia" w:ascii="宋体" w:hAnsi="宋体"/>
              </w:rPr>
              <w:t>路线分项</w:t>
            </w:r>
          </w:p>
          <w:p>
            <w:pPr>
              <w:spacing w:line="400" w:lineRule="exact"/>
              <w:jc w:val="center"/>
              <w:rPr>
                <w:rFonts w:hint="eastAsia" w:ascii="宋体" w:hAnsi="宋体"/>
              </w:rPr>
            </w:pPr>
            <w:r>
              <w:rPr>
                <w:rFonts w:hint="eastAsia" w:ascii="宋体" w:hAnsi="宋体"/>
              </w:rPr>
              <w:t>负责人</w:t>
            </w:r>
          </w:p>
        </w:tc>
        <w:tc>
          <w:tcPr>
            <w:tcW w:w="702" w:type="dxa"/>
            <w:vAlign w:val="center"/>
          </w:tcPr>
          <w:p>
            <w:pPr>
              <w:spacing w:line="400" w:lineRule="exact"/>
              <w:jc w:val="center"/>
              <w:rPr>
                <w:rFonts w:hint="eastAsia" w:ascii="宋体" w:hAnsi="宋体"/>
              </w:rPr>
            </w:pPr>
            <w:r>
              <w:rPr>
                <w:rFonts w:hint="eastAsia" w:ascii="宋体" w:hAnsi="宋体"/>
              </w:rPr>
              <w:t>1</w:t>
            </w:r>
          </w:p>
        </w:tc>
        <w:tc>
          <w:tcPr>
            <w:tcW w:w="5958" w:type="dxa"/>
            <w:vAlign w:val="center"/>
          </w:tcPr>
          <w:p>
            <w:pPr>
              <w:spacing w:line="320" w:lineRule="exact"/>
              <w:rPr>
                <w:rFonts w:hint="eastAsia" w:ascii="宋体" w:hAnsi="宋体"/>
                <w:spacing w:val="-10"/>
              </w:rPr>
            </w:pPr>
            <w:r>
              <w:rPr>
                <w:rFonts w:hint="eastAsia" w:ascii="宋体" w:hAnsi="宋体"/>
              </w:rPr>
              <w:t>公路工程相关专业工程师及以上职称，具有5年以上（含5年）勘察设计经验，近5年内至少担任过1个公路勘察设计项目的</w:t>
            </w:r>
            <w:r>
              <w:rPr>
                <w:rFonts w:hint="eastAsia" w:ascii="宋体" w:hAnsi="宋体"/>
                <w:lang w:eastAsia="zh-CN"/>
              </w:rPr>
              <w:t>路线</w:t>
            </w:r>
            <w:r>
              <w:rPr>
                <w:rFonts w:hint="eastAsia" w:ascii="宋体" w:hAnsi="宋体"/>
              </w:rPr>
              <w:t>分项负责人。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95" w:type="dxa"/>
            <w:vAlign w:val="center"/>
          </w:tcPr>
          <w:p>
            <w:pPr>
              <w:spacing w:line="400" w:lineRule="exact"/>
              <w:jc w:val="center"/>
              <w:rPr>
                <w:rFonts w:hint="eastAsia" w:ascii="宋体" w:hAnsi="宋体"/>
              </w:rPr>
            </w:pPr>
            <w:r>
              <w:rPr>
                <w:rFonts w:hint="eastAsia" w:ascii="宋体" w:hAnsi="宋体"/>
              </w:rPr>
              <w:t>3</w:t>
            </w:r>
          </w:p>
        </w:tc>
        <w:tc>
          <w:tcPr>
            <w:tcW w:w="2013" w:type="dxa"/>
            <w:vAlign w:val="center"/>
          </w:tcPr>
          <w:p>
            <w:pPr>
              <w:spacing w:line="400" w:lineRule="exact"/>
              <w:jc w:val="center"/>
              <w:rPr>
                <w:rFonts w:hint="eastAsia" w:ascii="宋体" w:hAnsi="宋体"/>
              </w:rPr>
            </w:pPr>
            <w:r>
              <w:rPr>
                <w:rFonts w:hint="eastAsia" w:ascii="宋体" w:hAnsi="宋体"/>
              </w:rPr>
              <w:t>路基、路面分项负责人</w:t>
            </w:r>
          </w:p>
        </w:tc>
        <w:tc>
          <w:tcPr>
            <w:tcW w:w="702" w:type="dxa"/>
            <w:vAlign w:val="center"/>
          </w:tcPr>
          <w:p>
            <w:pPr>
              <w:spacing w:line="400" w:lineRule="exact"/>
              <w:jc w:val="center"/>
              <w:rPr>
                <w:rFonts w:hint="eastAsia" w:ascii="宋体" w:hAnsi="宋体"/>
              </w:rPr>
            </w:pPr>
            <w:r>
              <w:rPr>
                <w:rFonts w:hint="eastAsia" w:ascii="宋体" w:hAnsi="宋体"/>
              </w:rPr>
              <w:t>1</w:t>
            </w:r>
          </w:p>
        </w:tc>
        <w:tc>
          <w:tcPr>
            <w:tcW w:w="5958" w:type="dxa"/>
            <w:vAlign w:val="center"/>
          </w:tcPr>
          <w:p>
            <w:pPr>
              <w:spacing w:line="320" w:lineRule="exact"/>
              <w:rPr>
                <w:rFonts w:hint="eastAsia" w:ascii="宋体" w:hAnsi="宋体"/>
              </w:rPr>
            </w:pPr>
            <w:r>
              <w:rPr>
                <w:rFonts w:hint="eastAsia" w:ascii="宋体" w:hAnsi="宋体"/>
              </w:rPr>
              <w:t>公路工程相关专业工程师及以上职称，具有5年以上（含5年）勘察设计经验，近5年内至少担任过1个公路勘察设计项目的分项负责人。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95" w:type="dxa"/>
            <w:vAlign w:val="center"/>
          </w:tcPr>
          <w:p>
            <w:pPr>
              <w:spacing w:line="400" w:lineRule="exact"/>
              <w:jc w:val="center"/>
              <w:rPr>
                <w:rFonts w:hint="eastAsia" w:ascii="宋体" w:hAnsi="宋体"/>
              </w:rPr>
            </w:pPr>
            <w:r>
              <w:rPr>
                <w:rFonts w:hint="eastAsia" w:ascii="宋体" w:hAnsi="宋体"/>
              </w:rPr>
              <w:t>4</w:t>
            </w:r>
          </w:p>
        </w:tc>
        <w:tc>
          <w:tcPr>
            <w:tcW w:w="2013" w:type="dxa"/>
            <w:vAlign w:val="center"/>
          </w:tcPr>
          <w:p>
            <w:pPr>
              <w:spacing w:line="400" w:lineRule="exact"/>
              <w:jc w:val="center"/>
              <w:rPr>
                <w:rFonts w:hint="eastAsia" w:ascii="宋体" w:hAnsi="宋体"/>
              </w:rPr>
            </w:pPr>
            <w:r>
              <w:rPr>
                <w:rFonts w:hint="eastAsia" w:ascii="宋体" w:hAnsi="宋体"/>
              </w:rPr>
              <w:t>桥涵分项负责人</w:t>
            </w:r>
          </w:p>
        </w:tc>
        <w:tc>
          <w:tcPr>
            <w:tcW w:w="702" w:type="dxa"/>
            <w:vAlign w:val="center"/>
          </w:tcPr>
          <w:p>
            <w:pPr>
              <w:spacing w:line="400" w:lineRule="exact"/>
              <w:jc w:val="center"/>
              <w:rPr>
                <w:rFonts w:hint="eastAsia" w:ascii="宋体" w:hAnsi="宋体"/>
              </w:rPr>
            </w:pPr>
            <w:r>
              <w:rPr>
                <w:rFonts w:hint="eastAsia" w:ascii="宋体" w:hAnsi="宋体"/>
              </w:rPr>
              <w:t>1</w:t>
            </w:r>
          </w:p>
        </w:tc>
        <w:tc>
          <w:tcPr>
            <w:tcW w:w="5958" w:type="dxa"/>
            <w:vAlign w:val="center"/>
          </w:tcPr>
          <w:p>
            <w:pPr>
              <w:spacing w:line="320" w:lineRule="exact"/>
              <w:rPr>
                <w:rFonts w:hint="eastAsia" w:ascii="宋体" w:hAnsi="宋体"/>
              </w:rPr>
            </w:pPr>
            <w:r>
              <w:rPr>
                <w:rFonts w:hint="eastAsia" w:ascii="宋体" w:hAnsi="宋体"/>
              </w:rPr>
              <w:t>公路工程相关专业工程师及以上职称，具有5年以上（含5年）勘察设计经验，近5年内至少担任过1个公路勘察设计项目的路基、路面分项负责人。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95" w:type="dxa"/>
            <w:vAlign w:val="center"/>
          </w:tcPr>
          <w:p>
            <w:pPr>
              <w:spacing w:line="400" w:lineRule="exact"/>
              <w:jc w:val="center"/>
              <w:rPr>
                <w:rFonts w:hint="eastAsia" w:ascii="宋体" w:hAnsi="宋体"/>
              </w:rPr>
            </w:pPr>
            <w:r>
              <w:rPr>
                <w:rFonts w:hint="eastAsia" w:ascii="宋体" w:hAnsi="宋体"/>
              </w:rPr>
              <w:t>5</w:t>
            </w:r>
          </w:p>
        </w:tc>
        <w:tc>
          <w:tcPr>
            <w:tcW w:w="2013" w:type="dxa"/>
            <w:vAlign w:val="center"/>
          </w:tcPr>
          <w:p>
            <w:pPr>
              <w:spacing w:line="400" w:lineRule="exact"/>
              <w:jc w:val="center"/>
              <w:rPr>
                <w:rFonts w:hint="eastAsia" w:ascii="宋体" w:hAnsi="宋体"/>
              </w:rPr>
            </w:pPr>
            <w:r>
              <w:rPr>
                <w:rFonts w:hint="eastAsia" w:ascii="宋体" w:hAnsi="宋体"/>
              </w:rPr>
              <w:t>路线交叉分项负责人</w:t>
            </w:r>
          </w:p>
        </w:tc>
        <w:tc>
          <w:tcPr>
            <w:tcW w:w="702" w:type="dxa"/>
            <w:vAlign w:val="center"/>
          </w:tcPr>
          <w:p>
            <w:pPr>
              <w:spacing w:line="400" w:lineRule="exact"/>
              <w:jc w:val="center"/>
              <w:rPr>
                <w:rFonts w:hint="eastAsia" w:ascii="宋体" w:hAnsi="宋体"/>
              </w:rPr>
            </w:pPr>
            <w:r>
              <w:rPr>
                <w:rFonts w:hint="eastAsia" w:ascii="宋体" w:hAnsi="宋体"/>
              </w:rPr>
              <w:t>1</w:t>
            </w:r>
          </w:p>
        </w:tc>
        <w:tc>
          <w:tcPr>
            <w:tcW w:w="5958" w:type="dxa"/>
            <w:vAlign w:val="center"/>
          </w:tcPr>
          <w:p>
            <w:pPr>
              <w:spacing w:line="320" w:lineRule="exact"/>
              <w:rPr>
                <w:rFonts w:hint="eastAsia" w:ascii="宋体" w:hAnsi="宋体"/>
              </w:rPr>
            </w:pPr>
            <w:r>
              <w:rPr>
                <w:rFonts w:hint="eastAsia" w:ascii="宋体" w:hAnsi="宋体"/>
              </w:rPr>
              <w:t>公路工程相关专业工程师及以上职称，具有5年以上（含5年）勘察设计经验，近5年内至少担任过1个公路勘察设计项目的路线交叉分项负责人。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95" w:type="dxa"/>
            <w:vAlign w:val="center"/>
          </w:tcPr>
          <w:p>
            <w:pPr>
              <w:spacing w:line="400" w:lineRule="exact"/>
              <w:jc w:val="center"/>
              <w:rPr>
                <w:rFonts w:hint="eastAsia" w:ascii="宋体" w:hAnsi="宋体"/>
              </w:rPr>
            </w:pPr>
            <w:r>
              <w:rPr>
                <w:rFonts w:hint="eastAsia" w:ascii="宋体" w:hAnsi="宋体"/>
              </w:rPr>
              <w:t>6</w:t>
            </w:r>
          </w:p>
        </w:tc>
        <w:tc>
          <w:tcPr>
            <w:tcW w:w="2013" w:type="dxa"/>
            <w:vAlign w:val="center"/>
          </w:tcPr>
          <w:p>
            <w:pPr>
              <w:spacing w:line="400" w:lineRule="exact"/>
              <w:jc w:val="center"/>
              <w:rPr>
                <w:rFonts w:hint="eastAsia" w:ascii="宋体" w:hAnsi="宋体"/>
              </w:rPr>
            </w:pPr>
            <w:r>
              <w:rPr>
                <w:rFonts w:hint="eastAsia" w:ascii="宋体" w:hAnsi="宋体"/>
              </w:rPr>
              <w:t>工程地质勘察分项负责人</w:t>
            </w:r>
          </w:p>
        </w:tc>
        <w:tc>
          <w:tcPr>
            <w:tcW w:w="702" w:type="dxa"/>
            <w:vAlign w:val="center"/>
          </w:tcPr>
          <w:p>
            <w:pPr>
              <w:spacing w:line="400" w:lineRule="exact"/>
              <w:jc w:val="center"/>
              <w:rPr>
                <w:rFonts w:hint="eastAsia" w:ascii="宋体" w:hAnsi="宋体"/>
              </w:rPr>
            </w:pPr>
            <w:r>
              <w:rPr>
                <w:rFonts w:hint="eastAsia" w:ascii="宋体" w:hAnsi="宋体"/>
              </w:rPr>
              <w:t>1</w:t>
            </w:r>
          </w:p>
        </w:tc>
        <w:tc>
          <w:tcPr>
            <w:tcW w:w="5958" w:type="dxa"/>
            <w:vAlign w:val="center"/>
          </w:tcPr>
          <w:p>
            <w:pPr>
              <w:spacing w:line="320" w:lineRule="exact"/>
              <w:rPr>
                <w:rFonts w:hint="eastAsia" w:ascii="宋体" w:hAnsi="宋体"/>
              </w:rPr>
            </w:pPr>
            <w:r>
              <w:rPr>
                <w:rFonts w:hint="eastAsia" w:ascii="宋体" w:hAnsi="宋体"/>
              </w:rPr>
              <w:t>公路工程相关专业工程师及以上职称，具有5年以上（含5年）勘察设计经验，近5年内至少担任过1个公路勘察设计项目的工程地质勘察分项负责人。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95" w:type="dxa"/>
            <w:vAlign w:val="center"/>
          </w:tcPr>
          <w:p>
            <w:pPr>
              <w:spacing w:line="400" w:lineRule="exact"/>
              <w:jc w:val="center"/>
              <w:rPr>
                <w:rFonts w:hint="eastAsia" w:ascii="宋体" w:hAnsi="宋体"/>
              </w:rPr>
            </w:pPr>
            <w:r>
              <w:rPr>
                <w:rFonts w:hint="eastAsia" w:ascii="宋体" w:hAnsi="宋体"/>
              </w:rPr>
              <w:t>7</w:t>
            </w:r>
          </w:p>
        </w:tc>
        <w:tc>
          <w:tcPr>
            <w:tcW w:w="2013" w:type="dxa"/>
            <w:vAlign w:val="center"/>
          </w:tcPr>
          <w:p>
            <w:pPr>
              <w:spacing w:line="400" w:lineRule="exact"/>
              <w:jc w:val="center"/>
              <w:rPr>
                <w:rFonts w:hint="eastAsia" w:ascii="宋体" w:hAnsi="宋体"/>
              </w:rPr>
            </w:pPr>
            <w:r>
              <w:rPr>
                <w:rFonts w:hint="eastAsia" w:ascii="宋体" w:hAnsi="宋体"/>
              </w:rPr>
              <w:t>工程造价分项</w:t>
            </w:r>
          </w:p>
          <w:p>
            <w:pPr>
              <w:spacing w:line="400" w:lineRule="exact"/>
              <w:jc w:val="center"/>
              <w:rPr>
                <w:rFonts w:hint="eastAsia" w:ascii="宋体" w:hAnsi="宋体"/>
              </w:rPr>
            </w:pPr>
            <w:r>
              <w:rPr>
                <w:rFonts w:hint="eastAsia" w:ascii="宋体" w:hAnsi="宋体"/>
              </w:rPr>
              <w:t>负责人</w:t>
            </w:r>
          </w:p>
        </w:tc>
        <w:tc>
          <w:tcPr>
            <w:tcW w:w="702" w:type="dxa"/>
            <w:vAlign w:val="center"/>
          </w:tcPr>
          <w:p>
            <w:pPr>
              <w:spacing w:line="400" w:lineRule="exact"/>
              <w:jc w:val="center"/>
              <w:rPr>
                <w:rFonts w:hint="eastAsia" w:ascii="宋体" w:hAnsi="宋体"/>
              </w:rPr>
            </w:pPr>
            <w:r>
              <w:rPr>
                <w:rFonts w:hint="eastAsia" w:ascii="宋体" w:hAnsi="宋体"/>
              </w:rPr>
              <w:t>1</w:t>
            </w:r>
          </w:p>
        </w:tc>
        <w:tc>
          <w:tcPr>
            <w:tcW w:w="5958" w:type="dxa"/>
            <w:vAlign w:val="center"/>
          </w:tcPr>
          <w:p>
            <w:pPr>
              <w:spacing w:line="320" w:lineRule="exact"/>
              <w:rPr>
                <w:rFonts w:hint="eastAsia" w:ascii="宋体" w:hAnsi="宋体"/>
              </w:rPr>
            </w:pPr>
            <w:r>
              <w:rPr>
                <w:rFonts w:hint="eastAsia" w:ascii="宋体" w:hAnsi="宋体"/>
              </w:rPr>
              <w:t>公路工程相关专业工程师及以上职称，具有5年以上（含5年）勘察设计经验，近5年内至少担任过1个公路勘察设计项目的工程造价分项负责人。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95" w:type="dxa"/>
            <w:vAlign w:val="center"/>
          </w:tcPr>
          <w:p>
            <w:pPr>
              <w:spacing w:line="400" w:lineRule="exact"/>
              <w:jc w:val="center"/>
              <w:rPr>
                <w:rFonts w:hint="eastAsia" w:ascii="宋体" w:hAnsi="宋体"/>
              </w:rPr>
            </w:pPr>
            <w:r>
              <w:rPr>
                <w:rFonts w:hint="eastAsia" w:ascii="宋体" w:hAnsi="宋体"/>
              </w:rPr>
              <w:t>8</w:t>
            </w:r>
          </w:p>
        </w:tc>
        <w:tc>
          <w:tcPr>
            <w:tcW w:w="2013" w:type="dxa"/>
            <w:vAlign w:val="center"/>
          </w:tcPr>
          <w:p>
            <w:pPr>
              <w:spacing w:line="400" w:lineRule="exact"/>
              <w:jc w:val="center"/>
              <w:rPr>
                <w:rFonts w:hint="eastAsia" w:ascii="宋体" w:hAnsi="宋体"/>
              </w:rPr>
            </w:pPr>
            <w:r>
              <w:rPr>
                <w:rFonts w:hint="eastAsia" w:ascii="宋体" w:hAnsi="宋体"/>
              </w:rPr>
              <w:t>交通安全设施分</w:t>
            </w:r>
          </w:p>
          <w:p>
            <w:pPr>
              <w:spacing w:line="400" w:lineRule="exact"/>
              <w:jc w:val="center"/>
              <w:rPr>
                <w:rFonts w:hint="eastAsia" w:ascii="宋体" w:hAnsi="宋体"/>
              </w:rPr>
            </w:pPr>
            <w:r>
              <w:rPr>
                <w:rFonts w:hint="eastAsia" w:ascii="宋体" w:hAnsi="宋体"/>
              </w:rPr>
              <w:t>项负责人</w:t>
            </w:r>
          </w:p>
        </w:tc>
        <w:tc>
          <w:tcPr>
            <w:tcW w:w="702" w:type="dxa"/>
            <w:vAlign w:val="center"/>
          </w:tcPr>
          <w:p>
            <w:pPr>
              <w:spacing w:line="400" w:lineRule="exact"/>
              <w:jc w:val="center"/>
              <w:rPr>
                <w:rFonts w:hint="eastAsia" w:ascii="宋体" w:hAnsi="宋体"/>
              </w:rPr>
            </w:pPr>
            <w:r>
              <w:rPr>
                <w:rFonts w:hint="eastAsia" w:ascii="宋体" w:hAnsi="宋体"/>
              </w:rPr>
              <w:t>1</w:t>
            </w:r>
          </w:p>
        </w:tc>
        <w:tc>
          <w:tcPr>
            <w:tcW w:w="5958" w:type="dxa"/>
            <w:vAlign w:val="center"/>
          </w:tcPr>
          <w:p>
            <w:pPr>
              <w:spacing w:line="320" w:lineRule="exact"/>
              <w:rPr>
                <w:rFonts w:hint="eastAsia" w:ascii="宋体" w:hAnsi="宋体"/>
                <w:spacing w:val="-10"/>
              </w:rPr>
            </w:pPr>
            <w:r>
              <w:rPr>
                <w:rFonts w:hint="eastAsia" w:ascii="宋体" w:hAnsi="宋体"/>
              </w:rPr>
              <w:t>公路工程相关专业工程师及以上职称，具有5年以上（含5年）勘察设计经验，近5年内至少担任过1个公路勘察设计项目的交通安全设施分项负责人。</w:t>
            </w:r>
          </w:p>
        </w:tc>
      </w:tr>
    </w:tbl>
    <w:p>
      <w:pPr>
        <w:adjustRightInd w:val="0"/>
        <w:snapToGrid w:val="0"/>
        <w:spacing w:line="300" w:lineRule="exact"/>
        <w:rPr>
          <w:rFonts w:eastAsia="隶书"/>
          <w:b/>
          <w:sz w:val="32"/>
        </w:rPr>
      </w:pPr>
    </w:p>
    <w:p>
      <w:pPr>
        <w:adjustRightInd w:val="0"/>
        <w:snapToGrid w:val="0"/>
        <w:spacing w:line="300" w:lineRule="exact"/>
        <w:rPr>
          <w:rFonts w:hint="eastAsia" w:ascii="宋体" w:hAnsi="宋体"/>
          <w:szCs w:val="21"/>
        </w:rPr>
      </w:pPr>
      <w:r>
        <w:rPr>
          <w:rFonts w:hint="eastAsia" w:ascii="宋体" w:hAnsi="宋体"/>
          <w:szCs w:val="21"/>
        </w:rPr>
        <w:t>注：1、</w:t>
      </w:r>
      <w:r>
        <w:rPr>
          <w:rFonts w:ascii="宋体" w:hAnsi="宋体"/>
          <w:szCs w:val="21"/>
        </w:rPr>
        <w:t>本表人员应与</w:t>
      </w:r>
      <w:r>
        <w:rPr>
          <w:rFonts w:hint="eastAsia" w:ascii="宋体" w:hAnsi="宋体"/>
          <w:szCs w:val="21"/>
        </w:rPr>
        <w:t>资格审查表中</w:t>
      </w:r>
      <w:r>
        <w:rPr>
          <w:rFonts w:ascii="宋体" w:hAnsi="宋体"/>
          <w:szCs w:val="21"/>
        </w:rPr>
        <w:t>表(</w:t>
      </w:r>
      <w:r>
        <w:rPr>
          <w:rFonts w:hint="eastAsia" w:ascii="宋体" w:hAnsi="宋体"/>
          <w:szCs w:val="21"/>
        </w:rPr>
        <w:t>四</w:t>
      </w:r>
      <w:r>
        <w:rPr>
          <w:rFonts w:ascii="宋体" w:hAnsi="宋体"/>
          <w:szCs w:val="21"/>
        </w:rPr>
        <w:t>)</w:t>
      </w:r>
      <w:r>
        <w:rPr>
          <w:rFonts w:hint="eastAsia" w:ascii="宋体" w:hAnsi="宋体"/>
          <w:szCs w:val="21"/>
        </w:rPr>
        <w:t>和表（五）</w:t>
      </w:r>
      <w:r>
        <w:rPr>
          <w:rFonts w:ascii="宋体" w:hAnsi="宋体"/>
          <w:szCs w:val="21"/>
        </w:rPr>
        <w:t>中所列人员相一致，附拟委任的主要人员的身份证、职称资格证书以及资格审查条件所要求的其他相关证书(如造价工程师执业证书等)的复印件</w:t>
      </w:r>
      <w:r>
        <w:rPr>
          <w:rFonts w:hint="eastAsia" w:ascii="宋体" w:hAnsi="宋体"/>
          <w:szCs w:val="21"/>
        </w:rPr>
        <w:t>。</w:t>
      </w:r>
    </w:p>
    <w:p>
      <w:pPr>
        <w:adjustRightInd w:val="0"/>
        <w:snapToGrid w:val="0"/>
        <w:spacing w:line="300" w:lineRule="exact"/>
        <w:ind w:firstLine="420" w:firstLineChars="200"/>
        <w:rPr>
          <w:rFonts w:hint="eastAsia" w:ascii="宋体" w:hAnsi="宋体"/>
          <w:szCs w:val="21"/>
        </w:rPr>
      </w:pPr>
    </w:p>
    <w:p>
      <w:pPr>
        <w:adjustRightInd w:val="0"/>
        <w:snapToGrid w:val="0"/>
        <w:spacing w:line="300" w:lineRule="exact"/>
        <w:rPr>
          <w:rFonts w:hint="eastAsia" w:eastAsia="黑体"/>
        </w:rPr>
      </w:pPr>
    </w:p>
    <w:p>
      <w:pPr>
        <w:adjustRightInd w:val="0"/>
        <w:snapToGrid w:val="0"/>
        <w:spacing w:line="300" w:lineRule="exact"/>
        <w:rPr>
          <w:rFonts w:hint="eastAsia" w:eastAsia="黑体"/>
        </w:rPr>
      </w:pPr>
    </w:p>
    <w:p>
      <w:pPr>
        <w:adjustRightInd w:val="0"/>
        <w:snapToGrid w:val="0"/>
        <w:spacing w:line="300" w:lineRule="exact"/>
        <w:rPr>
          <w:rFonts w:hint="eastAsia" w:eastAsia="黑体"/>
        </w:rPr>
      </w:pPr>
    </w:p>
    <w:p>
      <w:pPr>
        <w:adjustRightInd w:val="0"/>
        <w:snapToGrid w:val="0"/>
        <w:spacing w:line="300" w:lineRule="exact"/>
        <w:rPr>
          <w:rFonts w:hint="eastAsia" w:eastAsia="黑体"/>
        </w:rPr>
      </w:pPr>
    </w:p>
    <w:p>
      <w:pPr>
        <w:adjustRightInd w:val="0"/>
        <w:snapToGrid w:val="0"/>
        <w:spacing w:line="300" w:lineRule="exact"/>
        <w:rPr>
          <w:rFonts w:hint="eastAsia" w:eastAsia="黑体"/>
        </w:rPr>
      </w:pPr>
    </w:p>
    <w:p>
      <w:pPr>
        <w:adjustRightInd w:val="0"/>
        <w:snapToGrid w:val="0"/>
        <w:spacing w:line="300" w:lineRule="exact"/>
        <w:rPr>
          <w:rFonts w:hint="eastAsia" w:eastAsia="黑体"/>
        </w:rPr>
      </w:pPr>
    </w:p>
    <w:p>
      <w:pPr>
        <w:adjustRightInd w:val="0"/>
        <w:snapToGrid w:val="0"/>
        <w:spacing w:line="300" w:lineRule="exact"/>
        <w:rPr>
          <w:rFonts w:hint="eastAsia" w:eastAsia="黑体"/>
        </w:rPr>
      </w:pPr>
    </w:p>
    <w:p>
      <w:pPr>
        <w:adjustRightInd w:val="0"/>
        <w:snapToGrid w:val="0"/>
        <w:spacing w:line="300" w:lineRule="exact"/>
        <w:rPr>
          <w:rFonts w:hint="eastAsia" w:eastAsia="黑体"/>
        </w:rPr>
      </w:pPr>
    </w:p>
    <w:p>
      <w:pPr>
        <w:adjustRightInd w:val="0"/>
        <w:snapToGrid w:val="0"/>
        <w:spacing w:line="300" w:lineRule="exact"/>
        <w:rPr>
          <w:rFonts w:hint="eastAsia" w:eastAsia="黑体"/>
        </w:rPr>
      </w:pPr>
    </w:p>
    <w:p>
      <w:pPr>
        <w:adjustRightInd w:val="0"/>
        <w:snapToGrid w:val="0"/>
        <w:spacing w:line="300" w:lineRule="exact"/>
        <w:rPr>
          <w:rFonts w:hint="eastAsia" w:eastAsia="黑体"/>
        </w:rPr>
      </w:pPr>
    </w:p>
    <w:p>
      <w:pPr>
        <w:adjustRightInd w:val="0"/>
        <w:snapToGrid w:val="0"/>
        <w:spacing w:line="300" w:lineRule="exact"/>
        <w:rPr>
          <w:rFonts w:hint="eastAsia" w:eastAsia="黑体"/>
          <w:sz w:val="28"/>
          <w:szCs w:val="28"/>
        </w:rPr>
      </w:pPr>
    </w:p>
    <w:p>
      <w:pPr>
        <w:adjustRightInd w:val="0"/>
        <w:snapToGrid w:val="0"/>
        <w:spacing w:line="300" w:lineRule="auto"/>
        <w:jc w:val="center"/>
        <w:rPr>
          <w:rFonts w:eastAsia="黑体"/>
          <w:sz w:val="28"/>
          <w:szCs w:val="28"/>
        </w:rPr>
      </w:pPr>
      <w:r>
        <w:rPr>
          <w:rFonts w:eastAsia="黑体"/>
          <w:sz w:val="28"/>
          <w:szCs w:val="28"/>
        </w:rPr>
        <w:t>附录4  资格审查条件(信誉最低要求)</w:t>
      </w:r>
    </w:p>
    <w:p>
      <w:pPr>
        <w:adjustRightInd w:val="0"/>
        <w:snapToGrid w:val="0"/>
        <w:spacing w:line="300" w:lineRule="auto"/>
        <w:ind w:firstLine="1120" w:firstLineChars="400"/>
        <w:jc w:val="center"/>
        <w:rPr>
          <w:rFonts w:hint="eastAsia" w:eastAsia="黑体"/>
          <w:sz w:val="28"/>
          <w:szCs w:val="28"/>
        </w:rPr>
      </w:pPr>
    </w:p>
    <w:tbl>
      <w:tblPr>
        <w:tblStyle w:val="6"/>
        <w:tblW w:w="7905"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0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3" w:hRule="atLeast"/>
          <w:jc w:val="center"/>
        </w:trPr>
        <w:tc>
          <w:tcPr>
            <w:tcW w:w="7905" w:type="dxa"/>
            <w:vAlign w:val="center"/>
          </w:tcPr>
          <w:p>
            <w:pPr>
              <w:adjustRightInd w:val="0"/>
              <w:snapToGrid w:val="0"/>
              <w:spacing w:line="400" w:lineRule="atLeast"/>
              <w:jc w:val="center"/>
              <w:rPr>
                <w:szCs w:val="21"/>
              </w:rPr>
            </w:pPr>
            <w:r>
              <w:rPr>
                <w:szCs w:val="21"/>
              </w:rPr>
              <w:t>信 誉 要 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355" w:hRule="atLeast"/>
          <w:jc w:val="center"/>
        </w:trPr>
        <w:tc>
          <w:tcPr>
            <w:tcW w:w="7905" w:type="dxa"/>
            <w:vAlign w:val="center"/>
          </w:tcPr>
          <w:p>
            <w:pPr>
              <w:adjustRightInd w:val="0"/>
              <w:snapToGrid w:val="0"/>
              <w:spacing w:line="400" w:lineRule="atLeast"/>
              <w:rPr>
                <w:rFonts w:hint="eastAsia"/>
                <w:szCs w:val="21"/>
              </w:rPr>
            </w:pPr>
          </w:p>
          <w:p>
            <w:pPr>
              <w:spacing w:line="500" w:lineRule="exact"/>
              <w:ind w:right="-17"/>
              <w:rPr>
                <w:rFonts w:hint="eastAsia" w:ascii="宋体" w:hAnsi="宋体"/>
                <w:szCs w:val="21"/>
              </w:rPr>
            </w:pPr>
            <w:r>
              <w:rPr>
                <w:rFonts w:hint="eastAsia" w:ascii="宋体" w:hAnsi="宋体"/>
                <w:szCs w:val="21"/>
              </w:rPr>
              <w:t>1．投标人没有正受到责令停业的行政处罚或正处于财务被接管、冻结，破产状态；</w:t>
            </w:r>
          </w:p>
          <w:p>
            <w:pPr>
              <w:spacing w:line="500" w:lineRule="exact"/>
              <w:ind w:right="-17"/>
              <w:rPr>
                <w:rFonts w:hint="eastAsia" w:ascii="宋体" w:hAnsi="宋体"/>
                <w:szCs w:val="21"/>
              </w:rPr>
            </w:pPr>
            <w:r>
              <w:rPr>
                <w:rFonts w:hint="eastAsia" w:ascii="宋体" w:hAnsi="宋体"/>
                <w:szCs w:val="21"/>
              </w:rPr>
              <w:t>2.投标人没有正受到交通运输部（原交通部）或新疆兵团交通局取消投标资格的行政处罚；</w:t>
            </w:r>
          </w:p>
          <w:p>
            <w:pPr>
              <w:spacing w:line="500" w:lineRule="exact"/>
              <w:ind w:right="-17"/>
              <w:rPr>
                <w:rFonts w:hint="eastAsia" w:ascii="宋体" w:hAnsi="宋体"/>
                <w:szCs w:val="21"/>
              </w:rPr>
            </w:pPr>
            <w:r>
              <w:rPr>
                <w:rFonts w:hint="eastAsia" w:ascii="宋体" w:hAnsi="宋体"/>
                <w:szCs w:val="21"/>
              </w:rPr>
              <w:t>3．投标人没有涉及正在诉讼的案件，或涉及正在诉讼的案件但经评标委员会认定不会对承担本项目造成重大影响；</w:t>
            </w:r>
          </w:p>
          <w:p>
            <w:pPr>
              <w:spacing w:line="500" w:lineRule="exact"/>
              <w:ind w:right="-17"/>
              <w:rPr>
                <w:rFonts w:hint="eastAsia" w:ascii="宋体" w:hAnsi="宋体"/>
                <w:szCs w:val="21"/>
              </w:rPr>
            </w:pPr>
            <w:r>
              <w:rPr>
                <w:rFonts w:hint="eastAsia" w:ascii="宋体" w:hAnsi="宋体"/>
                <w:szCs w:val="21"/>
              </w:rPr>
              <w:t>4．在本项目评标结束后，如果接到检察机关的正式书面材料表明申请人有商业贿赂行为，招标人将取消其投标资格或中标资格。</w:t>
            </w:r>
          </w:p>
          <w:p>
            <w:pPr>
              <w:adjustRightInd w:val="0"/>
              <w:snapToGrid w:val="0"/>
              <w:spacing w:line="400" w:lineRule="atLeast"/>
              <w:rPr>
                <w:rFonts w:hint="eastAsia"/>
                <w:szCs w:val="21"/>
              </w:rPr>
            </w:pPr>
          </w:p>
          <w:p>
            <w:pPr>
              <w:adjustRightInd w:val="0"/>
              <w:snapToGrid w:val="0"/>
              <w:spacing w:line="400" w:lineRule="atLeast"/>
              <w:jc w:val="center"/>
              <w:rPr>
                <w:szCs w:val="21"/>
              </w:rPr>
            </w:pPr>
          </w:p>
        </w:tc>
      </w:tr>
    </w:tbl>
    <w:p>
      <w:pPr>
        <w:adjustRightInd w:val="0"/>
        <w:snapToGrid w:val="0"/>
        <w:spacing w:line="300" w:lineRule="auto"/>
        <w:jc w:val="center"/>
        <w:rPr>
          <w:rFonts w:eastAsia="黑体"/>
          <w:b/>
          <w:sz w:val="24"/>
        </w:rPr>
      </w:pPr>
    </w:p>
    <w:p>
      <w:pPr>
        <w:adjustRightInd w:val="0"/>
        <w:snapToGrid w:val="0"/>
        <w:spacing w:line="300" w:lineRule="auto"/>
        <w:jc w:val="center"/>
        <w:rPr>
          <w:rFonts w:hint="eastAsia" w:eastAsia="黑体"/>
          <w:sz w:val="28"/>
          <w:szCs w:val="28"/>
        </w:rPr>
      </w:pPr>
    </w:p>
    <w:p>
      <w:pPr>
        <w:adjustRightInd w:val="0"/>
        <w:snapToGrid w:val="0"/>
        <w:spacing w:line="300" w:lineRule="auto"/>
        <w:jc w:val="center"/>
        <w:rPr>
          <w:rFonts w:hint="eastAsia" w:eastAsia="黑体"/>
          <w:sz w:val="28"/>
          <w:szCs w:val="28"/>
        </w:rPr>
      </w:pPr>
    </w:p>
    <w:p>
      <w:pPr>
        <w:adjustRightInd w:val="0"/>
        <w:snapToGrid w:val="0"/>
        <w:spacing w:line="300" w:lineRule="auto"/>
        <w:jc w:val="center"/>
        <w:rPr>
          <w:rFonts w:hint="eastAsia" w:eastAsia="黑体"/>
          <w:sz w:val="28"/>
          <w:szCs w:val="28"/>
        </w:rPr>
      </w:pPr>
    </w:p>
    <w:p>
      <w:pPr>
        <w:adjustRightInd w:val="0"/>
        <w:snapToGrid w:val="0"/>
        <w:spacing w:line="300" w:lineRule="auto"/>
        <w:jc w:val="center"/>
        <w:rPr>
          <w:rFonts w:hint="eastAsia" w:eastAsia="黑体"/>
          <w:sz w:val="28"/>
          <w:szCs w:val="28"/>
        </w:rPr>
      </w:pPr>
    </w:p>
    <w:p>
      <w:pPr>
        <w:adjustRightInd w:val="0"/>
        <w:snapToGrid w:val="0"/>
        <w:spacing w:line="300" w:lineRule="auto"/>
        <w:jc w:val="center"/>
        <w:rPr>
          <w:rFonts w:hint="eastAsia" w:eastAsia="黑体"/>
          <w:sz w:val="28"/>
          <w:szCs w:val="28"/>
        </w:rPr>
      </w:pPr>
    </w:p>
    <w:p>
      <w:pPr>
        <w:adjustRightInd w:val="0"/>
        <w:snapToGrid w:val="0"/>
        <w:spacing w:line="300" w:lineRule="auto"/>
        <w:jc w:val="center"/>
        <w:rPr>
          <w:rFonts w:hint="eastAsia" w:eastAsia="黑体"/>
          <w:sz w:val="28"/>
          <w:szCs w:val="28"/>
        </w:rPr>
      </w:pPr>
    </w:p>
    <w:p>
      <w:pPr>
        <w:adjustRightInd w:val="0"/>
        <w:snapToGrid w:val="0"/>
        <w:spacing w:line="300" w:lineRule="auto"/>
        <w:jc w:val="center"/>
        <w:rPr>
          <w:rFonts w:hint="eastAsia" w:eastAsia="黑体"/>
          <w:sz w:val="28"/>
          <w:szCs w:val="28"/>
        </w:rPr>
      </w:pPr>
    </w:p>
    <w:p>
      <w:pPr>
        <w:adjustRightInd w:val="0"/>
        <w:snapToGrid w:val="0"/>
        <w:spacing w:line="300" w:lineRule="auto"/>
        <w:jc w:val="center"/>
        <w:rPr>
          <w:rFonts w:hint="eastAsia" w:eastAsia="黑体"/>
          <w:sz w:val="28"/>
          <w:szCs w:val="28"/>
        </w:rPr>
      </w:pPr>
    </w:p>
    <w:p>
      <w:pPr>
        <w:adjustRightInd w:val="0"/>
        <w:snapToGrid w:val="0"/>
        <w:spacing w:line="300" w:lineRule="auto"/>
        <w:jc w:val="center"/>
        <w:rPr>
          <w:rFonts w:hint="eastAsia" w:eastAsia="黑体"/>
          <w:sz w:val="28"/>
          <w:szCs w:val="28"/>
        </w:rPr>
      </w:pPr>
    </w:p>
    <w:p>
      <w:pPr>
        <w:adjustRightInd w:val="0"/>
        <w:snapToGrid w:val="0"/>
        <w:spacing w:line="300" w:lineRule="auto"/>
        <w:jc w:val="center"/>
        <w:rPr>
          <w:rFonts w:hint="eastAsia" w:eastAsia="黑体"/>
          <w:sz w:val="28"/>
          <w:szCs w:val="28"/>
        </w:rPr>
      </w:pPr>
    </w:p>
    <w:p>
      <w:pPr>
        <w:adjustRightInd w:val="0"/>
        <w:snapToGrid w:val="0"/>
        <w:spacing w:line="300" w:lineRule="auto"/>
        <w:jc w:val="center"/>
        <w:rPr>
          <w:rFonts w:hint="eastAsia" w:eastAsia="黑体"/>
          <w:sz w:val="28"/>
          <w:szCs w:val="28"/>
        </w:rPr>
      </w:pPr>
    </w:p>
    <w:p>
      <w:pPr>
        <w:adjustRightInd w:val="0"/>
        <w:snapToGrid w:val="0"/>
        <w:spacing w:line="300" w:lineRule="auto"/>
        <w:jc w:val="center"/>
        <w:rPr>
          <w:rFonts w:hint="eastAsia" w:eastAsia="黑体"/>
          <w:sz w:val="28"/>
          <w:szCs w:val="28"/>
        </w:rPr>
      </w:pPr>
    </w:p>
    <w:p>
      <w:pPr>
        <w:adjustRightInd w:val="0"/>
        <w:snapToGrid w:val="0"/>
        <w:spacing w:line="300" w:lineRule="auto"/>
        <w:jc w:val="center"/>
        <w:rPr>
          <w:rFonts w:hint="eastAsia" w:eastAsia="黑体"/>
          <w:sz w:val="28"/>
          <w:szCs w:val="28"/>
        </w:rPr>
      </w:pPr>
    </w:p>
    <w:p>
      <w:pPr>
        <w:adjustRightInd w:val="0"/>
        <w:snapToGrid w:val="0"/>
        <w:spacing w:line="300" w:lineRule="auto"/>
        <w:jc w:val="center"/>
        <w:rPr>
          <w:rFonts w:hint="eastAsia" w:eastAsia="黑体"/>
          <w:sz w:val="28"/>
          <w:szCs w:val="28"/>
        </w:rPr>
      </w:pPr>
    </w:p>
    <w:p>
      <w:pPr>
        <w:adjustRightInd w:val="0"/>
        <w:snapToGrid w:val="0"/>
        <w:spacing w:line="300" w:lineRule="auto"/>
        <w:jc w:val="center"/>
        <w:rPr>
          <w:rFonts w:hint="eastAsia" w:eastAsia="黑体"/>
          <w:sz w:val="28"/>
          <w:szCs w:val="28"/>
        </w:rPr>
      </w:pPr>
    </w:p>
    <w:p>
      <w:pPr>
        <w:spacing w:line="400" w:lineRule="atLeast"/>
        <w:jc w:val="center"/>
        <w:rPr>
          <w:rFonts w:hint="eastAsia" w:eastAsia="黑体"/>
          <w:sz w:val="30"/>
          <w:szCs w:val="30"/>
        </w:rPr>
      </w:pPr>
      <w:r>
        <w:rPr>
          <w:rFonts w:hint="eastAsia" w:eastAsia="黑体"/>
          <w:sz w:val="30"/>
          <w:szCs w:val="30"/>
          <w:lang w:val="en-US" w:eastAsia="zh-CN"/>
        </w:rPr>
        <w:t xml:space="preserve"> </w:t>
      </w:r>
      <w:r>
        <w:rPr>
          <w:rFonts w:eastAsia="黑体"/>
          <w:sz w:val="30"/>
          <w:szCs w:val="30"/>
        </w:rPr>
        <w:t xml:space="preserve"> 评标办法(综合评估法</w:t>
      </w:r>
      <w:r>
        <w:rPr>
          <w:rFonts w:hint="eastAsia" w:eastAsia="黑体"/>
          <w:sz w:val="30"/>
          <w:szCs w:val="30"/>
        </w:rPr>
        <w:t>I</w:t>
      </w:r>
      <w:r>
        <w:rPr>
          <w:rFonts w:eastAsia="黑体"/>
          <w:sz w:val="30"/>
          <w:szCs w:val="30"/>
        </w:rPr>
        <w:t>)</w:t>
      </w:r>
    </w:p>
    <w:p>
      <w:pPr>
        <w:spacing w:line="440" w:lineRule="exact"/>
        <w:rPr>
          <w:rFonts w:hint="eastAsia" w:eastAsia="黑体"/>
          <w:sz w:val="28"/>
          <w:szCs w:val="28"/>
        </w:rPr>
      </w:pPr>
    </w:p>
    <w:p>
      <w:pPr>
        <w:spacing w:line="440" w:lineRule="exact"/>
        <w:rPr>
          <w:rFonts w:hint="eastAsia" w:eastAsia="黑体"/>
          <w:sz w:val="28"/>
          <w:szCs w:val="28"/>
        </w:rPr>
      </w:pPr>
      <w:r>
        <w:rPr>
          <w:rFonts w:eastAsia="黑体"/>
          <w:sz w:val="28"/>
          <w:szCs w:val="28"/>
        </w:rPr>
        <w:t>评标办法前附表</w:t>
      </w:r>
      <w:r>
        <w:rPr>
          <w:rFonts w:hint="eastAsia" w:eastAsia="黑体"/>
          <w:sz w:val="28"/>
          <w:szCs w:val="28"/>
        </w:rPr>
        <w:t>-1：</w:t>
      </w: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37"/>
        <w:gridCol w:w="6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top"/>
          </w:tcPr>
          <w:p>
            <w:pPr>
              <w:spacing w:line="320" w:lineRule="atLeast"/>
              <w:jc w:val="center"/>
              <w:rPr>
                <w:rFonts w:hint="eastAsia" w:ascii="黑体" w:eastAsia="黑体"/>
                <w:b/>
                <w:sz w:val="24"/>
              </w:rPr>
            </w:pPr>
            <w:r>
              <w:rPr>
                <w:rFonts w:hint="eastAsia" w:ascii="黑体" w:hAnsi="宋体" w:eastAsia="黑体"/>
                <w:b/>
                <w:sz w:val="24"/>
              </w:rPr>
              <w:t>条款号</w:t>
            </w:r>
          </w:p>
        </w:tc>
        <w:tc>
          <w:tcPr>
            <w:tcW w:w="1237" w:type="dxa"/>
            <w:vAlign w:val="top"/>
          </w:tcPr>
          <w:p>
            <w:pPr>
              <w:spacing w:line="320" w:lineRule="atLeast"/>
              <w:jc w:val="center"/>
              <w:rPr>
                <w:rFonts w:hint="eastAsia" w:ascii="黑体" w:eastAsia="黑体"/>
                <w:b/>
                <w:sz w:val="24"/>
              </w:rPr>
            </w:pPr>
            <w:r>
              <w:rPr>
                <w:rFonts w:hint="eastAsia" w:ascii="黑体" w:hAnsi="宋体" w:eastAsia="黑体"/>
                <w:b/>
                <w:sz w:val="24"/>
              </w:rPr>
              <w:t>条款名称</w:t>
            </w:r>
          </w:p>
        </w:tc>
        <w:tc>
          <w:tcPr>
            <w:tcW w:w="6134" w:type="dxa"/>
            <w:vAlign w:val="top"/>
          </w:tcPr>
          <w:p>
            <w:pPr>
              <w:spacing w:line="320" w:lineRule="atLeast"/>
              <w:jc w:val="center"/>
              <w:rPr>
                <w:rFonts w:hint="eastAsia" w:ascii="黑体" w:eastAsia="黑体"/>
                <w:b/>
                <w:sz w:val="24"/>
              </w:rPr>
            </w:pPr>
            <w:r>
              <w:rPr>
                <w:rFonts w:hint="eastAsia" w:ascii="黑体" w:hAnsi="宋体" w:eastAsia="黑体"/>
                <w:b/>
                <w:sz w:val="24"/>
              </w:rPr>
              <w:t>编制内容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top"/>
          </w:tcPr>
          <w:p>
            <w:pPr>
              <w:spacing w:line="320" w:lineRule="atLeast"/>
              <w:jc w:val="center"/>
              <w:rPr>
                <w:rFonts w:ascii="宋体" w:hAnsi="宋体"/>
                <w:szCs w:val="21"/>
              </w:rPr>
            </w:pPr>
            <w:r>
              <w:rPr>
                <w:rFonts w:hint="eastAsia" w:ascii="宋体" w:hAnsi="宋体"/>
                <w:szCs w:val="21"/>
              </w:rPr>
              <w:t>2.2</w:t>
            </w:r>
          </w:p>
        </w:tc>
        <w:tc>
          <w:tcPr>
            <w:tcW w:w="1237" w:type="dxa"/>
            <w:vAlign w:val="top"/>
          </w:tcPr>
          <w:p>
            <w:pPr>
              <w:spacing w:line="320" w:lineRule="atLeast"/>
              <w:jc w:val="left"/>
              <w:rPr>
                <w:rFonts w:ascii="宋体" w:hAnsi="宋体"/>
                <w:szCs w:val="21"/>
              </w:rPr>
            </w:pPr>
            <w:r>
              <w:rPr>
                <w:rFonts w:hint="eastAsia" w:ascii="宋体" w:hAnsi="宋体"/>
                <w:szCs w:val="21"/>
              </w:rPr>
              <w:t>第一信封</w:t>
            </w:r>
            <w:r>
              <w:rPr>
                <w:rFonts w:ascii="宋体" w:hAnsi="宋体"/>
                <w:szCs w:val="21"/>
              </w:rPr>
              <w:t>资格审查</w:t>
            </w:r>
          </w:p>
        </w:tc>
        <w:tc>
          <w:tcPr>
            <w:tcW w:w="6134" w:type="dxa"/>
            <w:vAlign w:val="top"/>
          </w:tcPr>
          <w:p>
            <w:pPr>
              <w:spacing w:line="320" w:lineRule="atLeast"/>
              <w:jc w:val="left"/>
              <w:rPr>
                <w:rFonts w:ascii="宋体" w:hAnsi="宋体"/>
                <w:szCs w:val="21"/>
              </w:rPr>
            </w:pPr>
            <w:r>
              <w:rPr>
                <w:rFonts w:hint="eastAsia" w:ascii="宋体" w:hAnsi="宋体"/>
                <w:szCs w:val="21"/>
              </w:rPr>
              <w:t>见评标办法</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top"/>
          </w:tcPr>
          <w:p>
            <w:pPr>
              <w:spacing w:line="320" w:lineRule="atLeast"/>
              <w:jc w:val="center"/>
              <w:rPr>
                <w:rFonts w:ascii="宋体" w:hAnsi="宋体"/>
                <w:szCs w:val="21"/>
              </w:rPr>
            </w:pPr>
            <w:r>
              <w:rPr>
                <w:rFonts w:hint="eastAsia" w:ascii="宋体" w:hAnsi="宋体"/>
                <w:szCs w:val="21"/>
              </w:rPr>
              <w:t>2.3</w:t>
            </w:r>
          </w:p>
        </w:tc>
        <w:tc>
          <w:tcPr>
            <w:tcW w:w="1237" w:type="dxa"/>
            <w:vAlign w:val="top"/>
          </w:tcPr>
          <w:p>
            <w:pPr>
              <w:spacing w:line="320" w:lineRule="atLeast"/>
              <w:jc w:val="left"/>
              <w:rPr>
                <w:rFonts w:ascii="宋体" w:hAnsi="宋体"/>
                <w:szCs w:val="21"/>
              </w:rPr>
            </w:pPr>
            <w:r>
              <w:rPr>
                <w:rFonts w:hint="eastAsia" w:ascii="宋体" w:hAnsi="宋体"/>
                <w:szCs w:val="21"/>
              </w:rPr>
              <w:t>第一信封</w:t>
            </w:r>
            <w:r>
              <w:rPr>
                <w:rFonts w:ascii="宋体" w:hAnsi="宋体"/>
                <w:szCs w:val="21"/>
              </w:rPr>
              <w:t>初步评审</w:t>
            </w:r>
          </w:p>
        </w:tc>
        <w:tc>
          <w:tcPr>
            <w:tcW w:w="6134" w:type="dxa"/>
            <w:vAlign w:val="top"/>
          </w:tcPr>
          <w:p>
            <w:pPr>
              <w:spacing w:line="320" w:lineRule="atLeast"/>
              <w:jc w:val="left"/>
              <w:rPr>
                <w:rFonts w:ascii="宋体" w:hAnsi="宋体"/>
                <w:szCs w:val="21"/>
              </w:rPr>
            </w:pPr>
            <w:r>
              <w:rPr>
                <w:rFonts w:hint="eastAsia" w:ascii="宋体" w:hAnsi="宋体"/>
                <w:szCs w:val="21"/>
              </w:rPr>
              <w:t>见评标办法</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top"/>
          </w:tcPr>
          <w:p>
            <w:pPr>
              <w:spacing w:line="320" w:lineRule="atLeast"/>
              <w:jc w:val="center"/>
              <w:rPr>
                <w:rFonts w:ascii="宋体" w:hAnsi="宋体"/>
                <w:szCs w:val="21"/>
              </w:rPr>
            </w:pPr>
            <w:r>
              <w:rPr>
                <w:rFonts w:hint="eastAsia" w:ascii="宋体" w:hAnsi="宋体"/>
                <w:szCs w:val="21"/>
              </w:rPr>
              <w:t>2.7</w:t>
            </w:r>
          </w:p>
        </w:tc>
        <w:tc>
          <w:tcPr>
            <w:tcW w:w="1237" w:type="dxa"/>
            <w:vAlign w:val="top"/>
          </w:tcPr>
          <w:p>
            <w:pPr>
              <w:spacing w:line="320" w:lineRule="atLeast"/>
              <w:jc w:val="left"/>
              <w:rPr>
                <w:rFonts w:ascii="宋体" w:hAnsi="宋体"/>
                <w:szCs w:val="21"/>
              </w:rPr>
            </w:pPr>
            <w:r>
              <w:rPr>
                <w:rFonts w:hint="eastAsia" w:ascii="宋体" w:hAnsi="宋体"/>
                <w:szCs w:val="21"/>
              </w:rPr>
              <w:t>第二信封初步评审</w:t>
            </w:r>
          </w:p>
        </w:tc>
        <w:tc>
          <w:tcPr>
            <w:tcW w:w="6134" w:type="dxa"/>
            <w:vAlign w:val="top"/>
          </w:tcPr>
          <w:p>
            <w:pPr>
              <w:spacing w:line="320" w:lineRule="atLeast"/>
              <w:jc w:val="left"/>
              <w:rPr>
                <w:rFonts w:ascii="宋体" w:hAnsi="宋体"/>
                <w:szCs w:val="21"/>
              </w:rPr>
            </w:pPr>
            <w:r>
              <w:rPr>
                <w:rFonts w:hint="eastAsia" w:ascii="宋体" w:hAnsi="宋体"/>
                <w:szCs w:val="21"/>
              </w:rPr>
              <w:t>见评标办法</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top"/>
          </w:tcPr>
          <w:p>
            <w:pPr>
              <w:spacing w:line="320" w:lineRule="atLeast"/>
              <w:jc w:val="center"/>
              <w:rPr>
                <w:rFonts w:hint="eastAsia" w:ascii="宋体" w:hAnsi="宋体"/>
                <w:szCs w:val="21"/>
              </w:rPr>
            </w:pPr>
            <w:r>
              <w:rPr>
                <w:rFonts w:hint="eastAsia" w:ascii="宋体" w:hAnsi="宋体"/>
                <w:szCs w:val="21"/>
              </w:rPr>
              <w:t>2.5</w:t>
            </w:r>
          </w:p>
          <w:p>
            <w:pPr>
              <w:spacing w:line="320" w:lineRule="atLeast"/>
              <w:jc w:val="center"/>
              <w:rPr>
                <w:rFonts w:hint="eastAsia" w:ascii="宋体" w:hAnsi="宋体"/>
                <w:szCs w:val="21"/>
              </w:rPr>
            </w:pPr>
          </w:p>
          <w:p>
            <w:pPr>
              <w:spacing w:line="320" w:lineRule="atLeast"/>
              <w:jc w:val="center"/>
              <w:rPr>
                <w:rFonts w:hint="eastAsia" w:ascii="宋体" w:hAnsi="宋体"/>
                <w:szCs w:val="21"/>
              </w:rPr>
            </w:pPr>
          </w:p>
          <w:p>
            <w:pPr>
              <w:spacing w:line="320" w:lineRule="atLeast"/>
              <w:jc w:val="center"/>
              <w:rPr>
                <w:rFonts w:hint="eastAsia" w:ascii="宋体" w:hAnsi="宋体"/>
                <w:szCs w:val="21"/>
              </w:rPr>
            </w:pPr>
          </w:p>
          <w:p>
            <w:pPr>
              <w:spacing w:line="320" w:lineRule="atLeast"/>
              <w:jc w:val="center"/>
              <w:rPr>
                <w:rFonts w:hint="eastAsia" w:ascii="宋体" w:hAnsi="宋体"/>
                <w:szCs w:val="21"/>
              </w:rPr>
            </w:pPr>
          </w:p>
          <w:p>
            <w:pPr>
              <w:spacing w:line="320" w:lineRule="atLeast"/>
              <w:jc w:val="center"/>
              <w:rPr>
                <w:rFonts w:hint="eastAsia" w:ascii="宋体" w:hAnsi="宋体"/>
                <w:szCs w:val="21"/>
              </w:rPr>
            </w:pPr>
          </w:p>
          <w:p>
            <w:pPr>
              <w:spacing w:line="320" w:lineRule="atLeast"/>
              <w:jc w:val="center"/>
              <w:rPr>
                <w:rFonts w:hint="eastAsia" w:ascii="宋体" w:hAnsi="宋体"/>
                <w:szCs w:val="21"/>
              </w:rPr>
            </w:pPr>
          </w:p>
          <w:p>
            <w:pPr>
              <w:spacing w:line="320" w:lineRule="atLeast"/>
              <w:jc w:val="center"/>
              <w:rPr>
                <w:rFonts w:hint="eastAsia" w:ascii="宋体" w:hAnsi="宋体"/>
                <w:szCs w:val="21"/>
              </w:rPr>
            </w:pPr>
          </w:p>
          <w:p>
            <w:pPr>
              <w:spacing w:line="320" w:lineRule="atLeast"/>
              <w:jc w:val="center"/>
              <w:rPr>
                <w:rFonts w:hint="eastAsia" w:ascii="宋体" w:hAnsi="宋体"/>
                <w:szCs w:val="21"/>
              </w:rPr>
            </w:pPr>
          </w:p>
          <w:p>
            <w:pPr>
              <w:spacing w:line="320" w:lineRule="atLeast"/>
              <w:jc w:val="center"/>
              <w:rPr>
                <w:rFonts w:hint="eastAsia" w:ascii="宋体" w:hAnsi="宋体"/>
                <w:szCs w:val="21"/>
              </w:rPr>
            </w:pPr>
          </w:p>
          <w:p>
            <w:pPr>
              <w:spacing w:line="320" w:lineRule="atLeast"/>
              <w:jc w:val="center"/>
              <w:rPr>
                <w:rFonts w:hint="eastAsia" w:ascii="宋体" w:hAnsi="宋体"/>
                <w:szCs w:val="21"/>
              </w:rPr>
            </w:pPr>
          </w:p>
          <w:p>
            <w:pPr>
              <w:spacing w:line="320" w:lineRule="atLeast"/>
              <w:jc w:val="center"/>
              <w:rPr>
                <w:rFonts w:hint="eastAsia" w:ascii="宋体" w:hAnsi="宋体"/>
                <w:szCs w:val="21"/>
              </w:rPr>
            </w:pPr>
          </w:p>
          <w:p>
            <w:pPr>
              <w:spacing w:line="320" w:lineRule="atLeast"/>
              <w:jc w:val="center"/>
              <w:rPr>
                <w:rFonts w:hint="eastAsia" w:ascii="宋体" w:hAnsi="宋体"/>
                <w:szCs w:val="21"/>
              </w:rPr>
            </w:pPr>
          </w:p>
          <w:p>
            <w:pPr>
              <w:spacing w:line="320" w:lineRule="atLeast"/>
              <w:jc w:val="center"/>
              <w:rPr>
                <w:rFonts w:hint="eastAsia" w:ascii="宋体" w:hAnsi="宋体"/>
                <w:szCs w:val="21"/>
              </w:rPr>
            </w:pPr>
          </w:p>
          <w:p>
            <w:pPr>
              <w:spacing w:line="320" w:lineRule="atLeast"/>
              <w:jc w:val="center"/>
              <w:rPr>
                <w:rFonts w:hint="eastAsia" w:ascii="宋体" w:hAnsi="宋体"/>
                <w:szCs w:val="21"/>
              </w:rPr>
            </w:pPr>
          </w:p>
          <w:p>
            <w:pPr>
              <w:spacing w:line="320" w:lineRule="atLeast"/>
              <w:jc w:val="center"/>
              <w:rPr>
                <w:rFonts w:hint="eastAsia" w:ascii="宋体" w:hAnsi="宋体"/>
                <w:szCs w:val="21"/>
              </w:rPr>
            </w:pPr>
          </w:p>
          <w:p>
            <w:pPr>
              <w:spacing w:line="320" w:lineRule="atLeast"/>
              <w:jc w:val="center"/>
              <w:rPr>
                <w:rFonts w:ascii="宋体" w:hAnsi="宋体"/>
                <w:szCs w:val="21"/>
              </w:rPr>
            </w:pPr>
            <w:r>
              <w:rPr>
                <w:rFonts w:hint="eastAsia" w:ascii="宋体" w:hAnsi="宋体"/>
                <w:szCs w:val="21"/>
              </w:rPr>
              <w:t>2.10</w:t>
            </w:r>
          </w:p>
        </w:tc>
        <w:tc>
          <w:tcPr>
            <w:tcW w:w="1237" w:type="dxa"/>
            <w:vAlign w:val="top"/>
          </w:tcPr>
          <w:p>
            <w:pPr>
              <w:spacing w:line="320" w:lineRule="atLeast"/>
              <w:jc w:val="left"/>
              <w:rPr>
                <w:rFonts w:hint="eastAsia" w:ascii="宋体" w:hAnsi="宋体"/>
                <w:szCs w:val="21"/>
              </w:rPr>
            </w:pPr>
            <w:r>
              <w:rPr>
                <w:rFonts w:hint="eastAsia" w:ascii="宋体" w:hAnsi="宋体"/>
                <w:szCs w:val="21"/>
              </w:rPr>
              <w:t>第一信封</w:t>
            </w:r>
            <w:r>
              <w:rPr>
                <w:rFonts w:ascii="宋体" w:hAnsi="宋体"/>
                <w:szCs w:val="21"/>
              </w:rPr>
              <w:t>详细评审</w:t>
            </w:r>
          </w:p>
          <w:p>
            <w:pPr>
              <w:spacing w:line="320" w:lineRule="atLeast"/>
              <w:jc w:val="left"/>
              <w:rPr>
                <w:rFonts w:hint="eastAsia" w:ascii="宋体" w:hAnsi="宋体"/>
                <w:szCs w:val="21"/>
              </w:rPr>
            </w:pPr>
          </w:p>
          <w:p>
            <w:pPr>
              <w:spacing w:line="320" w:lineRule="atLeast"/>
              <w:jc w:val="left"/>
              <w:rPr>
                <w:rFonts w:hint="eastAsia" w:ascii="宋体" w:hAnsi="宋体"/>
                <w:szCs w:val="21"/>
              </w:rPr>
            </w:pPr>
          </w:p>
          <w:p>
            <w:pPr>
              <w:spacing w:line="320" w:lineRule="atLeast"/>
              <w:jc w:val="left"/>
              <w:rPr>
                <w:rFonts w:hint="eastAsia" w:ascii="宋体" w:hAnsi="宋体"/>
                <w:szCs w:val="21"/>
              </w:rPr>
            </w:pPr>
          </w:p>
          <w:p>
            <w:pPr>
              <w:spacing w:line="320" w:lineRule="atLeast"/>
              <w:jc w:val="left"/>
              <w:rPr>
                <w:rFonts w:hint="eastAsia" w:ascii="宋体" w:hAnsi="宋体"/>
                <w:szCs w:val="21"/>
              </w:rPr>
            </w:pPr>
          </w:p>
          <w:p>
            <w:pPr>
              <w:spacing w:line="320" w:lineRule="atLeast"/>
              <w:jc w:val="left"/>
              <w:rPr>
                <w:rFonts w:hint="eastAsia" w:ascii="宋体" w:hAnsi="宋体"/>
                <w:szCs w:val="21"/>
              </w:rPr>
            </w:pPr>
          </w:p>
          <w:p>
            <w:pPr>
              <w:spacing w:line="320" w:lineRule="atLeast"/>
              <w:jc w:val="left"/>
              <w:rPr>
                <w:rFonts w:hint="eastAsia" w:ascii="宋体" w:hAnsi="宋体"/>
                <w:szCs w:val="21"/>
              </w:rPr>
            </w:pPr>
          </w:p>
          <w:p>
            <w:pPr>
              <w:spacing w:line="320" w:lineRule="atLeast"/>
              <w:jc w:val="left"/>
              <w:rPr>
                <w:rFonts w:hint="eastAsia" w:ascii="宋体" w:hAnsi="宋体"/>
                <w:szCs w:val="21"/>
              </w:rPr>
            </w:pPr>
          </w:p>
          <w:p>
            <w:pPr>
              <w:spacing w:line="320" w:lineRule="atLeast"/>
              <w:jc w:val="left"/>
              <w:rPr>
                <w:rFonts w:hint="eastAsia" w:ascii="宋体" w:hAnsi="宋体"/>
                <w:szCs w:val="21"/>
              </w:rPr>
            </w:pPr>
          </w:p>
          <w:p>
            <w:pPr>
              <w:spacing w:line="320" w:lineRule="atLeast"/>
              <w:jc w:val="left"/>
              <w:rPr>
                <w:rFonts w:hint="eastAsia" w:ascii="宋体" w:hAnsi="宋体"/>
                <w:szCs w:val="21"/>
              </w:rPr>
            </w:pPr>
          </w:p>
          <w:p>
            <w:pPr>
              <w:spacing w:line="320" w:lineRule="atLeast"/>
              <w:jc w:val="left"/>
              <w:rPr>
                <w:rFonts w:hint="eastAsia" w:ascii="宋体" w:hAnsi="宋体"/>
                <w:szCs w:val="21"/>
              </w:rPr>
            </w:pPr>
          </w:p>
          <w:p>
            <w:pPr>
              <w:spacing w:line="320" w:lineRule="atLeast"/>
              <w:jc w:val="left"/>
              <w:rPr>
                <w:rFonts w:hint="eastAsia" w:ascii="宋体" w:hAnsi="宋体"/>
                <w:szCs w:val="21"/>
              </w:rPr>
            </w:pPr>
          </w:p>
          <w:p>
            <w:pPr>
              <w:spacing w:line="320" w:lineRule="atLeast"/>
              <w:jc w:val="left"/>
              <w:rPr>
                <w:rFonts w:hint="eastAsia" w:ascii="宋体" w:hAnsi="宋体"/>
                <w:szCs w:val="21"/>
              </w:rPr>
            </w:pPr>
          </w:p>
          <w:p>
            <w:pPr>
              <w:spacing w:line="320" w:lineRule="atLeast"/>
              <w:jc w:val="left"/>
              <w:rPr>
                <w:rFonts w:hint="eastAsia" w:ascii="宋体" w:hAnsi="宋体"/>
                <w:szCs w:val="21"/>
              </w:rPr>
            </w:pPr>
          </w:p>
          <w:p>
            <w:pPr>
              <w:spacing w:line="320" w:lineRule="atLeast"/>
              <w:jc w:val="left"/>
              <w:rPr>
                <w:rFonts w:hint="eastAsia" w:ascii="宋体" w:hAnsi="宋体"/>
                <w:szCs w:val="21"/>
              </w:rPr>
            </w:pPr>
          </w:p>
          <w:p>
            <w:pPr>
              <w:spacing w:line="320" w:lineRule="atLeast"/>
              <w:jc w:val="left"/>
              <w:rPr>
                <w:rFonts w:ascii="宋体" w:hAnsi="宋体"/>
                <w:szCs w:val="21"/>
              </w:rPr>
            </w:pPr>
            <w:r>
              <w:rPr>
                <w:rFonts w:hint="eastAsia" w:ascii="宋体" w:hAnsi="宋体"/>
                <w:szCs w:val="21"/>
              </w:rPr>
              <w:t>第二信封详细评审</w:t>
            </w:r>
          </w:p>
        </w:tc>
        <w:tc>
          <w:tcPr>
            <w:tcW w:w="6134" w:type="dxa"/>
            <w:vAlign w:val="top"/>
          </w:tcPr>
          <w:p>
            <w:pPr>
              <w:spacing w:line="320" w:lineRule="atLeast"/>
              <w:jc w:val="left"/>
              <w:rPr>
                <w:rFonts w:hint="eastAsia" w:ascii="宋体" w:hAnsi="宋体"/>
                <w:szCs w:val="21"/>
              </w:rPr>
            </w:pPr>
            <w:r>
              <w:rPr>
                <w:rFonts w:ascii="宋体" w:hAnsi="宋体"/>
                <w:szCs w:val="21"/>
              </w:rPr>
              <w:t>评审因素</w:t>
            </w:r>
            <w:r>
              <w:rPr>
                <w:rFonts w:hint="eastAsia" w:ascii="宋体" w:hAnsi="宋体"/>
                <w:szCs w:val="21"/>
              </w:rPr>
              <w:t xml:space="preserve">                                 </w:t>
            </w:r>
            <w:r>
              <w:rPr>
                <w:rFonts w:ascii="宋体" w:hAnsi="宋体"/>
                <w:szCs w:val="21"/>
              </w:rPr>
              <w:t>评分权重</w:t>
            </w:r>
          </w:p>
          <w:p>
            <w:pPr>
              <w:spacing w:line="320" w:lineRule="atLeast"/>
              <w:jc w:val="left"/>
              <w:rPr>
                <w:rFonts w:hint="eastAsia" w:ascii="宋体" w:hAnsi="宋体"/>
                <w:szCs w:val="21"/>
              </w:rPr>
            </w:pPr>
            <w:r>
              <w:rPr>
                <w:rFonts w:ascii="宋体" w:hAnsi="宋体"/>
                <w:szCs w:val="21"/>
              </w:rPr>
              <w:t>（一）投标文件第一信封（商务文件）：</w:t>
            </w:r>
            <w:r>
              <w:rPr>
                <w:rFonts w:hint="eastAsia" w:ascii="宋体" w:hAnsi="宋体"/>
                <w:szCs w:val="21"/>
              </w:rPr>
              <w:t xml:space="preserve">         40 </w:t>
            </w:r>
            <w:r>
              <w:rPr>
                <w:rFonts w:ascii="宋体" w:hAnsi="宋体"/>
                <w:szCs w:val="21"/>
              </w:rPr>
              <w:t>分</w:t>
            </w:r>
          </w:p>
          <w:p>
            <w:pPr>
              <w:spacing w:line="320" w:lineRule="atLeast"/>
              <w:jc w:val="left"/>
              <w:rPr>
                <w:rFonts w:hint="eastAsia" w:ascii="宋体" w:hAnsi="宋体"/>
                <w:szCs w:val="21"/>
              </w:rPr>
            </w:pPr>
            <w:r>
              <w:rPr>
                <w:rFonts w:hint="eastAsia" w:ascii="宋体" w:hAnsi="宋体"/>
                <w:szCs w:val="21"/>
              </w:rPr>
              <w:t>(1)</w:t>
            </w:r>
            <w:r>
              <w:rPr>
                <w:rFonts w:ascii="宋体" w:hAnsi="宋体"/>
                <w:szCs w:val="21"/>
              </w:rPr>
              <w:t>投标人与本项目相关的具体业绩</w:t>
            </w:r>
            <w:r>
              <w:rPr>
                <w:rFonts w:hint="eastAsia" w:ascii="宋体" w:hAnsi="宋体"/>
                <w:szCs w:val="21"/>
              </w:rPr>
              <w:t xml:space="preserve">              20分</w:t>
            </w:r>
          </w:p>
          <w:p>
            <w:pPr>
              <w:spacing w:line="320" w:lineRule="atLeast"/>
              <w:jc w:val="left"/>
              <w:rPr>
                <w:rFonts w:hint="eastAsia" w:ascii="宋体" w:hAnsi="宋体"/>
                <w:szCs w:val="21"/>
              </w:rPr>
            </w:pPr>
            <w:r>
              <w:rPr>
                <w:rFonts w:hint="eastAsia" w:ascii="宋体" w:hAnsi="宋体"/>
                <w:szCs w:val="21"/>
              </w:rPr>
              <w:t>(2)</w:t>
            </w:r>
            <w:r>
              <w:rPr>
                <w:rFonts w:ascii="宋体" w:hAnsi="宋体"/>
                <w:szCs w:val="21"/>
              </w:rPr>
              <w:t>拟投入本项目的人员资格和能力</w:t>
            </w:r>
            <w:r>
              <w:rPr>
                <w:rFonts w:hint="eastAsia" w:ascii="宋体" w:hAnsi="宋体"/>
                <w:szCs w:val="21"/>
              </w:rPr>
              <w:t xml:space="preserve">              20分</w:t>
            </w:r>
          </w:p>
          <w:p>
            <w:pPr>
              <w:spacing w:line="320" w:lineRule="atLeast"/>
              <w:jc w:val="left"/>
              <w:rPr>
                <w:rFonts w:hint="eastAsia" w:ascii="宋体" w:hAnsi="宋体"/>
                <w:szCs w:val="21"/>
              </w:rPr>
            </w:pPr>
          </w:p>
          <w:p>
            <w:pPr>
              <w:spacing w:line="320" w:lineRule="atLeast"/>
              <w:jc w:val="left"/>
              <w:rPr>
                <w:rFonts w:hint="eastAsia" w:ascii="宋体" w:hAnsi="宋体"/>
                <w:szCs w:val="21"/>
              </w:rPr>
            </w:pPr>
            <w:r>
              <w:rPr>
                <w:rFonts w:ascii="宋体" w:hAnsi="宋体"/>
                <w:szCs w:val="21"/>
              </w:rPr>
              <w:t>（二）投标文件</w:t>
            </w:r>
            <w:r>
              <w:rPr>
                <w:rFonts w:hint="eastAsia" w:ascii="宋体" w:hAnsi="宋体"/>
                <w:szCs w:val="21"/>
              </w:rPr>
              <w:t>第</w:t>
            </w:r>
            <w:r>
              <w:rPr>
                <w:rFonts w:ascii="宋体" w:hAnsi="宋体"/>
                <w:szCs w:val="21"/>
              </w:rPr>
              <w:t>一信封（技术文件）：</w:t>
            </w:r>
            <w:r>
              <w:rPr>
                <w:rFonts w:hint="eastAsia" w:ascii="宋体" w:hAnsi="宋体"/>
                <w:szCs w:val="21"/>
              </w:rPr>
              <w:t xml:space="preserve">          30</w:t>
            </w:r>
            <w:r>
              <w:rPr>
                <w:rFonts w:ascii="宋体" w:hAnsi="宋体"/>
                <w:szCs w:val="21"/>
              </w:rPr>
              <w:t>分</w:t>
            </w:r>
          </w:p>
          <w:p>
            <w:pPr>
              <w:spacing w:line="320" w:lineRule="atLeast"/>
              <w:jc w:val="left"/>
              <w:rPr>
                <w:rFonts w:hint="eastAsia" w:ascii="宋体" w:hAnsi="宋体"/>
                <w:szCs w:val="21"/>
              </w:rPr>
            </w:pPr>
            <w:r>
              <w:rPr>
                <w:rFonts w:hint="eastAsia" w:ascii="宋体" w:hAnsi="宋体"/>
                <w:szCs w:val="21"/>
              </w:rPr>
              <w:t>(3)</w:t>
            </w:r>
            <w:r>
              <w:rPr>
                <w:rFonts w:ascii="宋体" w:hAnsi="宋体"/>
                <w:szCs w:val="21"/>
              </w:rPr>
              <w:t>对招标项目的理解和总体设计思路</w:t>
            </w:r>
            <w:r>
              <w:rPr>
                <w:rFonts w:hint="eastAsia" w:ascii="宋体" w:hAnsi="宋体"/>
                <w:szCs w:val="21"/>
              </w:rPr>
              <w:t xml:space="preserve">            10分</w:t>
            </w:r>
          </w:p>
          <w:p>
            <w:pPr>
              <w:spacing w:line="320" w:lineRule="atLeast"/>
              <w:jc w:val="left"/>
              <w:rPr>
                <w:rFonts w:hint="eastAsia" w:ascii="宋体" w:hAnsi="宋体"/>
                <w:szCs w:val="21"/>
              </w:rPr>
            </w:pPr>
            <w:r>
              <w:rPr>
                <w:rFonts w:hint="eastAsia" w:ascii="宋体" w:hAnsi="宋体"/>
                <w:szCs w:val="21"/>
              </w:rPr>
              <w:t>(4)</w:t>
            </w:r>
            <w:r>
              <w:rPr>
                <w:rFonts w:ascii="宋体" w:hAnsi="宋体"/>
                <w:szCs w:val="21"/>
              </w:rPr>
              <w:t>招标项目勘察设计的特点、关</w:t>
            </w:r>
          </w:p>
          <w:p>
            <w:pPr>
              <w:spacing w:line="320" w:lineRule="atLeast"/>
              <w:jc w:val="left"/>
              <w:rPr>
                <w:rFonts w:hint="eastAsia" w:ascii="宋体" w:hAnsi="宋体"/>
                <w:szCs w:val="21"/>
              </w:rPr>
            </w:pPr>
            <w:r>
              <w:rPr>
                <w:rFonts w:ascii="宋体" w:hAnsi="宋体"/>
                <w:szCs w:val="21"/>
              </w:rPr>
              <w:t>键技术问题</w:t>
            </w:r>
            <w:r>
              <w:rPr>
                <w:rFonts w:hint="eastAsia" w:ascii="宋体" w:hAnsi="宋体"/>
                <w:szCs w:val="21"/>
              </w:rPr>
              <w:t>的认识</w:t>
            </w:r>
            <w:r>
              <w:rPr>
                <w:rFonts w:ascii="宋体" w:hAnsi="宋体"/>
                <w:szCs w:val="21"/>
              </w:rPr>
              <w:t>及其对策措施</w:t>
            </w:r>
            <w:r>
              <w:rPr>
                <w:rFonts w:hint="eastAsia" w:ascii="宋体" w:hAnsi="宋体"/>
                <w:szCs w:val="21"/>
              </w:rPr>
              <w:t xml:space="preserve">                 8分</w:t>
            </w:r>
          </w:p>
          <w:p>
            <w:pPr>
              <w:spacing w:line="320" w:lineRule="atLeast"/>
              <w:jc w:val="left"/>
              <w:rPr>
                <w:rFonts w:hint="eastAsia" w:ascii="宋体" w:hAnsi="宋体"/>
                <w:szCs w:val="21"/>
              </w:rPr>
            </w:pPr>
            <w:r>
              <w:rPr>
                <w:rFonts w:hint="eastAsia" w:ascii="宋体" w:hAnsi="宋体"/>
                <w:szCs w:val="21"/>
              </w:rPr>
              <w:t>(6)勘察设计工作量及计划安排                   3分</w:t>
            </w:r>
          </w:p>
          <w:p>
            <w:pPr>
              <w:spacing w:line="320" w:lineRule="atLeast"/>
              <w:jc w:val="left"/>
              <w:rPr>
                <w:rFonts w:hint="eastAsia" w:ascii="宋体" w:hAnsi="宋体"/>
                <w:szCs w:val="21"/>
              </w:rPr>
            </w:pPr>
            <w:r>
              <w:rPr>
                <w:rFonts w:hint="eastAsia" w:ascii="宋体" w:hAnsi="宋体"/>
                <w:szCs w:val="21"/>
              </w:rPr>
              <w:t>(7)勘察设计的质量保证措施、进度保证措施       4 分</w:t>
            </w:r>
          </w:p>
          <w:p>
            <w:pPr>
              <w:spacing w:line="320" w:lineRule="atLeast"/>
              <w:jc w:val="left"/>
              <w:rPr>
                <w:rFonts w:hint="eastAsia" w:ascii="宋体" w:hAnsi="宋体"/>
                <w:szCs w:val="21"/>
              </w:rPr>
            </w:pPr>
            <w:r>
              <w:rPr>
                <w:rFonts w:hint="eastAsia" w:ascii="宋体" w:hAnsi="宋体"/>
                <w:szCs w:val="21"/>
              </w:rPr>
              <w:t>(8)后续服务的安排及保证措施                   5分</w:t>
            </w:r>
          </w:p>
          <w:p>
            <w:pPr>
              <w:spacing w:line="320" w:lineRule="atLeast"/>
              <w:jc w:val="left"/>
              <w:rPr>
                <w:rFonts w:hint="eastAsia" w:ascii="宋体" w:hAnsi="宋体"/>
                <w:szCs w:val="21"/>
              </w:rPr>
            </w:pPr>
          </w:p>
          <w:p>
            <w:pPr>
              <w:spacing w:line="320" w:lineRule="atLeast"/>
              <w:jc w:val="left"/>
              <w:rPr>
                <w:rFonts w:hint="eastAsia" w:ascii="宋体" w:hAnsi="宋体"/>
                <w:szCs w:val="21"/>
              </w:rPr>
            </w:pPr>
            <w:r>
              <w:rPr>
                <w:rFonts w:ascii="宋体" w:hAnsi="宋体"/>
                <w:szCs w:val="21"/>
              </w:rPr>
              <w:t>（</w:t>
            </w:r>
            <w:r>
              <w:rPr>
                <w:rFonts w:hint="eastAsia" w:ascii="宋体" w:hAnsi="宋体"/>
                <w:szCs w:val="21"/>
              </w:rPr>
              <w:t>三</w:t>
            </w:r>
            <w:r>
              <w:rPr>
                <w:rFonts w:ascii="宋体" w:hAnsi="宋体"/>
                <w:szCs w:val="21"/>
              </w:rPr>
              <w:t>）投标文件</w:t>
            </w:r>
            <w:r>
              <w:rPr>
                <w:rFonts w:hint="eastAsia" w:ascii="宋体" w:hAnsi="宋体"/>
                <w:szCs w:val="21"/>
              </w:rPr>
              <w:t>第二</w:t>
            </w:r>
            <w:r>
              <w:rPr>
                <w:rFonts w:ascii="宋体" w:hAnsi="宋体"/>
                <w:szCs w:val="21"/>
              </w:rPr>
              <w:t>信封（</w:t>
            </w:r>
            <w:r>
              <w:rPr>
                <w:rFonts w:hint="eastAsia" w:ascii="宋体" w:hAnsi="宋体"/>
                <w:szCs w:val="21"/>
              </w:rPr>
              <w:t>报价清单</w:t>
            </w:r>
            <w:r>
              <w:rPr>
                <w:rFonts w:ascii="宋体" w:hAnsi="宋体"/>
                <w:szCs w:val="21"/>
              </w:rPr>
              <w:t>）：</w:t>
            </w:r>
            <w:r>
              <w:rPr>
                <w:rFonts w:hint="eastAsia" w:ascii="宋体" w:hAnsi="宋体"/>
                <w:szCs w:val="21"/>
              </w:rPr>
              <w:t xml:space="preserve">          30</w:t>
            </w:r>
            <w:r>
              <w:rPr>
                <w:rFonts w:ascii="宋体" w:hAnsi="宋体"/>
                <w:szCs w:val="21"/>
              </w:rPr>
              <w:t>分</w:t>
            </w:r>
          </w:p>
          <w:p>
            <w:pPr>
              <w:spacing w:line="320" w:lineRule="atLeas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top"/>
          </w:tcPr>
          <w:p>
            <w:pPr>
              <w:spacing w:line="320" w:lineRule="atLeast"/>
              <w:jc w:val="left"/>
              <w:rPr>
                <w:rFonts w:ascii="宋体" w:hAnsi="宋体"/>
                <w:szCs w:val="21"/>
              </w:rPr>
            </w:pPr>
          </w:p>
        </w:tc>
        <w:tc>
          <w:tcPr>
            <w:tcW w:w="1237" w:type="dxa"/>
            <w:vAlign w:val="top"/>
          </w:tcPr>
          <w:p>
            <w:pPr>
              <w:spacing w:line="320" w:lineRule="atLeast"/>
              <w:jc w:val="left"/>
              <w:rPr>
                <w:rFonts w:ascii="宋体" w:hAnsi="宋体"/>
                <w:szCs w:val="21"/>
              </w:rPr>
            </w:pPr>
            <w:r>
              <w:rPr>
                <w:rFonts w:ascii="宋体" w:hAnsi="宋体"/>
                <w:szCs w:val="21"/>
              </w:rPr>
              <w:t>需要补充的其他内容：</w:t>
            </w:r>
          </w:p>
        </w:tc>
        <w:tc>
          <w:tcPr>
            <w:tcW w:w="6134" w:type="dxa"/>
            <w:vAlign w:val="top"/>
          </w:tcPr>
          <w:p>
            <w:pPr>
              <w:spacing w:line="320" w:lineRule="atLeast"/>
              <w:jc w:val="left"/>
              <w:rPr>
                <w:rFonts w:hint="eastAsia" w:ascii="宋体" w:hAnsi="宋体"/>
                <w:szCs w:val="21"/>
              </w:rPr>
            </w:pPr>
            <w:r>
              <w:rPr>
                <w:rFonts w:hint="eastAsia" w:ascii="宋体" w:hAnsi="宋体"/>
                <w:szCs w:val="21"/>
              </w:rPr>
              <w:t>无</w:t>
            </w:r>
          </w:p>
        </w:tc>
      </w:tr>
    </w:tbl>
    <w:p>
      <w:pPr>
        <w:spacing w:line="400" w:lineRule="atLeast"/>
        <w:ind w:firstLine="480" w:firstLineChars="200"/>
        <w:rPr>
          <w:rFonts w:eastAsia="隶书"/>
          <w:sz w:val="24"/>
        </w:rPr>
        <w:sectPr>
          <w:headerReference r:id="rId3" w:type="even"/>
          <w:footnotePr>
            <w:numFmt w:val="decimalEnclosedCircleChinese"/>
            <w:numRestart w:val="eachPage"/>
          </w:footnotePr>
          <w:pgSz w:w="11906" w:h="16838"/>
          <w:pgMar w:top="1588" w:right="1644" w:bottom="1474" w:left="1701" w:header="851" w:footer="851" w:gutter="0"/>
          <w:cols w:space="425" w:num="1"/>
          <w:docGrid w:linePitch="312" w:charSpace="0"/>
        </w:sectPr>
      </w:pPr>
    </w:p>
    <w:p>
      <w:pPr>
        <w:rPr>
          <w:rFonts w:hint="eastAsia" w:eastAsia="黑体"/>
          <w:sz w:val="28"/>
          <w:szCs w:val="28"/>
        </w:rPr>
      </w:pPr>
      <w:r>
        <w:rPr>
          <w:rFonts w:eastAsia="黑体"/>
          <w:sz w:val="28"/>
          <w:szCs w:val="28"/>
        </w:rPr>
        <w:t>评标办法前附表</w:t>
      </w:r>
      <w:r>
        <w:rPr>
          <w:rFonts w:hint="eastAsia" w:eastAsia="黑体"/>
          <w:sz w:val="28"/>
          <w:szCs w:val="28"/>
        </w:rPr>
        <w:t>-2：评标细则</w:t>
      </w:r>
    </w:p>
    <w:p>
      <w:pPr>
        <w:rPr>
          <w:rFonts w:hint="eastAsia" w:eastAsia="黑体"/>
          <w:sz w:val="28"/>
          <w:szCs w:val="28"/>
        </w:rPr>
      </w:pPr>
    </w:p>
    <w:tbl>
      <w:tblPr>
        <w:tblStyle w:val="6"/>
        <w:tblW w:w="13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2205"/>
        <w:gridCol w:w="1470"/>
        <w:gridCol w:w="2520"/>
        <w:gridCol w:w="1116"/>
        <w:gridCol w:w="5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8364" w:type="dxa"/>
            <w:gridSpan w:val="5"/>
            <w:vAlign w:val="top"/>
          </w:tcPr>
          <w:p>
            <w:pPr>
              <w:spacing w:line="420" w:lineRule="atLeast"/>
              <w:jc w:val="center"/>
              <w:rPr>
                <w:rFonts w:ascii="宋体" w:hAnsi="宋体"/>
                <w:b/>
                <w:color w:val="000000"/>
                <w:szCs w:val="21"/>
              </w:rPr>
            </w:pPr>
            <w:r>
              <w:rPr>
                <w:rFonts w:ascii="宋体" w:hAnsi="宋体"/>
                <w:b/>
                <w:color w:val="000000"/>
                <w:szCs w:val="21"/>
              </w:rPr>
              <w:t>评</w:t>
            </w:r>
            <w:r>
              <w:rPr>
                <w:rFonts w:hint="eastAsia" w:ascii="宋体" w:hAnsi="宋体"/>
                <w:b/>
                <w:color w:val="000000"/>
                <w:szCs w:val="21"/>
              </w:rPr>
              <w:t>审</w:t>
            </w:r>
            <w:r>
              <w:rPr>
                <w:rFonts w:ascii="宋体" w:hAnsi="宋体"/>
                <w:b/>
                <w:color w:val="000000"/>
                <w:szCs w:val="21"/>
              </w:rPr>
              <w:t>因素与权重分值</w:t>
            </w:r>
          </w:p>
        </w:tc>
        <w:tc>
          <w:tcPr>
            <w:tcW w:w="5394" w:type="dxa"/>
            <w:vMerge w:val="restart"/>
            <w:vAlign w:val="center"/>
          </w:tcPr>
          <w:p>
            <w:pPr>
              <w:spacing w:line="420" w:lineRule="atLeast"/>
              <w:jc w:val="center"/>
              <w:rPr>
                <w:rFonts w:ascii="宋体" w:hAnsi="宋体"/>
                <w:b/>
                <w:color w:val="000000"/>
                <w:szCs w:val="21"/>
              </w:rPr>
            </w:pPr>
            <w:r>
              <w:rPr>
                <w:rFonts w:ascii="宋体" w:hAnsi="宋体"/>
                <w:b/>
                <w:color w:val="00000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1053" w:type="dxa"/>
            <w:vAlign w:val="center"/>
          </w:tcPr>
          <w:p>
            <w:pPr>
              <w:spacing w:line="420" w:lineRule="atLeast"/>
              <w:jc w:val="center"/>
              <w:rPr>
                <w:rFonts w:ascii="宋体" w:hAnsi="宋体"/>
                <w:b/>
                <w:color w:val="000000"/>
                <w:szCs w:val="21"/>
              </w:rPr>
            </w:pPr>
            <w:r>
              <w:rPr>
                <w:rFonts w:hint="eastAsia" w:ascii="宋体" w:hAnsi="宋体"/>
                <w:b/>
                <w:color w:val="000000"/>
                <w:szCs w:val="21"/>
              </w:rPr>
              <w:t>序号</w:t>
            </w:r>
          </w:p>
        </w:tc>
        <w:tc>
          <w:tcPr>
            <w:tcW w:w="2205" w:type="dxa"/>
            <w:vAlign w:val="center"/>
          </w:tcPr>
          <w:p>
            <w:pPr>
              <w:spacing w:line="420" w:lineRule="atLeast"/>
              <w:jc w:val="center"/>
              <w:rPr>
                <w:rFonts w:ascii="宋体" w:hAnsi="宋体"/>
                <w:b/>
                <w:color w:val="000000"/>
                <w:szCs w:val="21"/>
              </w:rPr>
            </w:pPr>
            <w:r>
              <w:rPr>
                <w:rFonts w:ascii="宋体" w:hAnsi="宋体"/>
                <w:b/>
                <w:color w:val="000000"/>
                <w:szCs w:val="21"/>
              </w:rPr>
              <w:t>评</w:t>
            </w:r>
            <w:r>
              <w:rPr>
                <w:rFonts w:hint="eastAsia" w:ascii="宋体" w:hAnsi="宋体"/>
                <w:b/>
                <w:color w:val="000000"/>
                <w:szCs w:val="21"/>
              </w:rPr>
              <w:t>审</w:t>
            </w:r>
            <w:r>
              <w:rPr>
                <w:rFonts w:ascii="宋体" w:hAnsi="宋体"/>
                <w:b/>
                <w:color w:val="000000"/>
                <w:szCs w:val="21"/>
              </w:rPr>
              <w:t>因素</w:t>
            </w:r>
          </w:p>
        </w:tc>
        <w:tc>
          <w:tcPr>
            <w:tcW w:w="1470" w:type="dxa"/>
            <w:vAlign w:val="center"/>
          </w:tcPr>
          <w:p>
            <w:pPr>
              <w:spacing w:line="420" w:lineRule="atLeast"/>
              <w:jc w:val="center"/>
              <w:rPr>
                <w:rFonts w:ascii="宋体" w:hAnsi="宋体"/>
                <w:b/>
                <w:color w:val="000000"/>
                <w:szCs w:val="21"/>
              </w:rPr>
            </w:pPr>
            <w:r>
              <w:rPr>
                <w:rFonts w:ascii="宋体" w:hAnsi="宋体"/>
                <w:b/>
                <w:color w:val="000000"/>
                <w:szCs w:val="21"/>
              </w:rPr>
              <w:t>评</w:t>
            </w:r>
            <w:r>
              <w:rPr>
                <w:rFonts w:hint="eastAsia" w:ascii="宋体" w:hAnsi="宋体"/>
                <w:b/>
                <w:color w:val="000000"/>
                <w:szCs w:val="21"/>
              </w:rPr>
              <w:t>审</w:t>
            </w:r>
            <w:r>
              <w:rPr>
                <w:rFonts w:ascii="宋体" w:hAnsi="宋体"/>
                <w:b/>
                <w:color w:val="000000"/>
                <w:szCs w:val="21"/>
              </w:rPr>
              <w:t>因素权重分值</w:t>
            </w:r>
          </w:p>
        </w:tc>
        <w:tc>
          <w:tcPr>
            <w:tcW w:w="2520" w:type="dxa"/>
            <w:vAlign w:val="center"/>
          </w:tcPr>
          <w:p>
            <w:pPr>
              <w:spacing w:line="420" w:lineRule="atLeast"/>
              <w:jc w:val="center"/>
              <w:rPr>
                <w:rFonts w:ascii="宋体" w:hAnsi="宋体"/>
                <w:b/>
                <w:color w:val="000000"/>
                <w:szCs w:val="21"/>
              </w:rPr>
            </w:pPr>
            <w:r>
              <w:rPr>
                <w:rFonts w:ascii="宋体" w:hAnsi="宋体"/>
                <w:b/>
                <w:color w:val="000000"/>
                <w:szCs w:val="21"/>
              </w:rPr>
              <w:t>各评</w:t>
            </w:r>
            <w:r>
              <w:rPr>
                <w:rFonts w:hint="eastAsia" w:ascii="宋体" w:hAnsi="宋体"/>
                <w:b/>
                <w:color w:val="000000"/>
                <w:szCs w:val="21"/>
              </w:rPr>
              <w:t>审</w:t>
            </w:r>
            <w:r>
              <w:rPr>
                <w:rFonts w:ascii="宋体" w:hAnsi="宋体"/>
                <w:b/>
                <w:color w:val="000000"/>
                <w:szCs w:val="21"/>
              </w:rPr>
              <w:t>因素细分项</w:t>
            </w:r>
          </w:p>
        </w:tc>
        <w:tc>
          <w:tcPr>
            <w:tcW w:w="1116" w:type="dxa"/>
            <w:vAlign w:val="center"/>
          </w:tcPr>
          <w:p>
            <w:pPr>
              <w:spacing w:line="420" w:lineRule="atLeast"/>
              <w:jc w:val="center"/>
              <w:rPr>
                <w:rFonts w:ascii="宋体" w:hAnsi="宋体"/>
                <w:b/>
                <w:color w:val="000000"/>
                <w:szCs w:val="21"/>
              </w:rPr>
            </w:pPr>
            <w:r>
              <w:rPr>
                <w:rFonts w:ascii="宋体" w:hAnsi="宋体"/>
                <w:b/>
                <w:color w:val="000000"/>
                <w:szCs w:val="21"/>
              </w:rPr>
              <w:t>分值</w:t>
            </w:r>
          </w:p>
        </w:tc>
        <w:tc>
          <w:tcPr>
            <w:tcW w:w="5394" w:type="dxa"/>
            <w:vMerge w:val="continue"/>
            <w:vAlign w:val="top"/>
          </w:tcPr>
          <w:p>
            <w:pPr>
              <w:spacing w:line="420" w:lineRule="atLeast"/>
              <w:jc w:val="center"/>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53" w:type="dxa"/>
            <w:vAlign w:val="center"/>
          </w:tcPr>
          <w:p>
            <w:pPr>
              <w:spacing w:line="420" w:lineRule="atLeast"/>
              <w:jc w:val="center"/>
              <w:rPr>
                <w:rFonts w:ascii="宋体" w:hAnsi="宋体"/>
                <w:color w:val="000000"/>
                <w:szCs w:val="21"/>
              </w:rPr>
            </w:pPr>
            <w:r>
              <w:rPr>
                <w:rFonts w:ascii="宋体" w:hAnsi="宋体"/>
                <w:color w:val="000000"/>
                <w:szCs w:val="21"/>
              </w:rPr>
              <w:t>（1）</w:t>
            </w:r>
          </w:p>
        </w:tc>
        <w:tc>
          <w:tcPr>
            <w:tcW w:w="2205" w:type="dxa"/>
            <w:vAlign w:val="center"/>
          </w:tcPr>
          <w:p>
            <w:pPr>
              <w:spacing w:line="420" w:lineRule="atLeast"/>
              <w:jc w:val="left"/>
              <w:rPr>
                <w:rFonts w:ascii="宋体" w:hAnsi="宋体"/>
                <w:color w:val="000000"/>
                <w:szCs w:val="21"/>
              </w:rPr>
            </w:pPr>
            <w:r>
              <w:rPr>
                <w:rFonts w:ascii="宋体" w:hAnsi="宋体"/>
                <w:snapToGrid w:val="0"/>
                <w:color w:val="000000"/>
                <w:szCs w:val="21"/>
              </w:rPr>
              <w:t>投标人与本项目相关的具体业绩</w:t>
            </w:r>
          </w:p>
        </w:tc>
        <w:tc>
          <w:tcPr>
            <w:tcW w:w="1470" w:type="dxa"/>
            <w:vAlign w:val="center"/>
          </w:tcPr>
          <w:p>
            <w:pPr>
              <w:spacing w:line="420" w:lineRule="atLeast"/>
              <w:jc w:val="center"/>
              <w:rPr>
                <w:rFonts w:ascii="宋体" w:hAnsi="宋体"/>
                <w:color w:val="000000"/>
                <w:szCs w:val="21"/>
              </w:rPr>
            </w:pPr>
            <w:r>
              <w:rPr>
                <w:rFonts w:hint="eastAsia" w:ascii="宋体" w:hAnsi="宋体"/>
                <w:color w:val="000000"/>
                <w:szCs w:val="21"/>
              </w:rPr>
              <w:t>20</w:t>
            </w:r>
            <w:r>
              <w:rPr>
                <w:rFonts w:ascii="宋体" w:hAnsi="宋体"/>
                <w:color w:val="000000"/>
                <w:szCs w:val="21"/>
              </w:rPr>
              <w:t>分</w:t>
            </w:r>
          </w:p>
        </w:tc>
        <w:tc>
          <w:tcPr>
            <w:tcW w:w="2520" w:type="dxa"/>
            <w:vAlign w:val="center"/>
          </w:tcPr>
          <w:p>
            <w:pPr>
              <w:spacing w:line="420" w:lineRule="atLeast"/>
              <w:rPr>
                <w:rFonts w:ascii="宋体" w:hAnsi="宋体"/>
                <w:color w:val="000000"/>
                <w:szCs w:val="21"/>
              </w:rPr>
            </w:pPr>
            <w:r>
              <w:rPr>
                <w:rFonts w:hint="eastAsia" w:ascii="宋体" w:hAnsi="宋体"/>
                <w:color w:val="000000"/>
                <w:szCs w:val="21"/>
              </w:rPr>
              <w:t>类似勘察设计项目业绩</w:t>
            </w:r>
          </w:p>
        </w:tc>
        <w:tc>
          <w:tcPr>
            <w:tcW w:w="1116" w:type="dxa"/>
            <w:vAlign w:val="center"/>
          </w:tcPr>
          <w:p>
            <w:pPr>
              <w:spacing w:line="420" w:lineRule="atLeast"/>
              <w:jc w:val="center"/>
              <w:rPr>
                <w:rFonts w:ascii="宋体" w:hAnsi="宋体"/>
                <w:color w:val="000000"/>
                <w:szCs w:val="21"/>
              </w:rPr>
            </w:pPr>
            <w:r>
              <w:rPr>
                <w:rFonts w:hint="eastAsia" w:ascii="宋体" w:hAnsi="宋体"/>
                <w:color w:val="000000"/>
                <w:szCs w:val="21"/>
              </w:rPr>
              <w:t>20</w:t>
            </w:r>
            <w:r>
              <w:rPr>
                <w:rFonts w:ascii="宋体" w:hAnsi="宋体"/>
                <w:color w:val="000000"/>
                <w:szCs w:val="21"/>
              </w:rPr>
              <w:t>分</w:t>
            </w:r>
          </w:p>
        </w:tc>
        <w:tc>
          <w:tcPr>
            <w:tcW w:w="5394" w:type="dxa"/>
            <w:vAlign w:val="center"/>
          </w:tcPr>
          <w:p>
            <w:pPr>
              <w:spacing w:line="420" w:lineRule="atLeast"/>
              <w:rPr>
                <w:rFonts w:ascii="宋体" w:hAnsi="宋体"/>
                <w:color w:val="000000"/>
                <w:szCs w:val="21"/>
              </w:rPr>
            </w:pPr>
            <w:r>
              <w:rPr>
                <w:rFonts w:hint="eastAsia" w:ascii="宋体" w:hAnsi="宋体"/>
                <w:color w:val="000000"/>
                <w:szCs w:val="21"/>
              </w:rPr>
              <w:t>满足资格审查强制性资格标准的，</w:t>
            </w:r>
            <w:bookmarkStart w:id="0" w:name="OLE_LINK1"/>
            <w:r>
              <w:rPr>
                <w:rFonts w:hint="eastAsia" w:ascii="宋体" w:hAnsi="宋体"/>
                <w:color w:val="000000"/>
                <w:szCs w:val="21"/>
              </w:rPr>
              <w:t>得基本分</w:t>
            </w:r>
            <w:r>
              <w:rPr>
                <w:rFonts w:hint="eastAsia" w:ascii="宋体" w:hAnsi="宋体"/>
                <w:color w:val="000000"/>
                <w:szCs w:val="21"/>
                <w:lang w:val="en-US" w:eastAsia="zh-CN"/>
              </w:rPr>
              <w:t>12</w:t>
            </w:r>
            <w:r>
              <w:rPr>
                <w:rFonts w:hint="eastAsia" w:ascii="宋体" w:hAnsi="宋体"/>
                <w:color w:val="000000"/>
                <w:szCs w:val="21"/>
              </w:rPr>
              <w:t>分</w:t>
            </w:r>
            <w:bookmarkEnd w:id="0"/>
            <w:r>
              <w:rPr>
                <w:rFonts w:hint="eastAsia" w:ascii="宋体" w:hAnsi="宋体"/>
                <w:color w:val="000000"/>
                <w:szCs w:val="21"/>
                <w:lang w:eastAsia="zh-CN"/>
              </w:rPr>
              <w:t>，每增加</w:t>
            </w:r>
            <w:r>
              <w:rPr>
                <w:rFonts w:hint="eastAsia" w:ascii="宋体" w:hAnsi="宋体"/>
                <w:color w:val="000000"/>
                <w:szCs w:val="21"/>
                <w:lang w:val="en-US" w:eastAsia="zh-CN"/>
              </w:rPr>
              <w:t>1项符合要求的业绩加2分，最高的20分。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53" w:type="dxa"/>
            <w:vMerge w:val="restart"/>
            <w:vAlign w:val="center"/>
          </w:tcPr>
          <w:p>
            <w:pPr>
              <w:spacing w:line="420" w:lineRule="atLeast"/>
              <w:jc w:val="center"/>
              <w:rPr>
                <w:rFonts w:ascii="宋体" w:hAnsi="宋体"/>
                <w:color w:val="000000"/>
                <w:szCs w:val="21"/>
              </w:rPr>
            </w:pPr>
            <w:r>
              <w:rPr>
                <w:rFonts w:ascii="宋体" w:hAnsi="宋体"/>
                <w:color w:val="000000"/>
                <w:szCs w:val="21"/>
              </w:rPr>
              <w:t>（2）</w:t>
            </w:r>
          </w:p>
        </w:tc>
        <w:tc>
          <w:tcPr>
            <w:tcW w:w="2205" w:type="dxa"/>
            <w:vMerge w:val="restart"/>
            <w:vAlign w:val="center"/>
          </w:tcPr>
          <w:p>
            <w:pPr>
              <w:spacing w:line="420" w:lineRule="atLeast"/>
              <w:jc w:val="left"/>
              <w:rPr>
                <w:rFonts w:ascii="宋体" w:hAnsi="宋体"/>
                <w:color w:val="000000"/>
                <w:szCs w:val="21"/>
              </w:rPr>
            </w:pPr>
            <w:r>
              <w:rPr>
                <w:rFonts w:ascii="宋体" w:hAnsi="宋体"/>
                <w:snapToGrid w:val="0"/>
                <w:color w:val="000000"/>
                <w:szCs w:val="21"/>
              </w:rPr>
              <w:t>拟投入本项目的人员资格和能力</w:t>
            </w:r>
          </w:p>
        </w:tc>
        <w:tc>
          <w:tcPr>
            <w:tcW w:w="1470" w:type="dxa"/>
            <w:vMerge w:val="restart"/>
            <w:vAlign w:val="center"/>
          </w:tcPr>
          <w:p>
            <w:pPr>
              <w:spacing w:line="420" w:lineRule="atLeast"/>
              <w:jc w:val="center"/>
              <w:rPr>
                <w:rFonts w:ascii="宋体" w:hAnsi="宋体"/>
                <w:color w:val="000000"/>
                <w:szCs w:val="21"/>
              </w:rPr>
            </w:pPr>
            <w:r>
              <w:rPr>
                <w:rFonts w:hint="eastAsia" w:ascii="宋体" w:hAnsi="宋体"/>
                <w:color w:val="000000"/>
                <w:szCs w:val="21"/>
              </w:rPr>
              <w:t>20</w:t>
            </w:r>
            <w:r>
              <w:rPr>
                <w:rFonts w:ascii="宋体" w:hAnsi="宋体"/>
                <w:color w:val="000000"/>
                <w:szCs w:val="21"/>
              </w:rPr>
              <w:t>分</w:t>
            </w:r>
          </w:p>
        </w:tc>
        <w:tc>
          <w:tcPr>
            <w:tcW w:w="2520" w:type="dxa"/>
            <w:vAlign w:val="center"/>
          </w:tcPr>
          <w:p>
            <w:pPr>
              <w:spacing w:line="420" w:lineRule="atLeast"/>
              <w:rPr>
                <w:rFonts w:ascii="宋体" w:hAnsi="宋体"/>
                <w:color w:val="000000"/>
                <w:szCs w:val="21"/>
              </w:rPr>
            </w:pPr>
            <w:r>
              <w:rPr>
                <w:rFonts w:ascii="宋体" w:hAnsi="宋体"/>
                <w:color w:val="000000"/>
                <w:szCs w:val="21"/>
              </w:rPr>
              <w:t>项目负责人任职资格与业绩</w:t>
            </w:r>
          </w:p>
        </w:tc>
        <w:tc>
          <w:tcPr>
            <w:tcW w:w="1116" w:type="dxa"/>
            <w:vAlign w:val="center"/>
          </w:tcPr>
          <w:p>
            <w:pPr>
              <w:spacing w:line="420" w:lineRule="atLeast"/>
              <w:jc w:val="center"/>
              <w:rPr>
                <w:rFonts w:ascii="宋体" w:hAnsi="宋体"/>
                <w:color w:val="000000"/>
                <w:szCs w:val="21"/>
              </w:rPr>
            </w:pPr>
            <w:r>
              <w:rPr>
                <w:rFonts w:hint="eastAsia" w:ascii="宋体" w:hAnsi="宋体"/>
                <w:color w:val="000000"/>
                <w:szCs w:val="21"/>
              </w:rPr>
              <w:t>10</w:t>
            </w:r>
            <w:r>
              <w:rPr>
                <w:rFonts w:ascii="宋体" w:hAnsi="宋体"/>
                <w:color w:val="000000"/>
                <w:szCs w:val="21"/>
              </w:rPr>
              <w:t xml:space="preserve"> 分</w:t>
            </w:r>
          </w:p>
        </w:tc>
        <w:tc>
          <w:tcPr>
            <w:tcW w:w="5394" w:type="dxa"/>
            <w:vAlign w:val="center"/>
          </w:tcPr>
          <w:p>
            <w:pPr>
              <w:spacing w:line="420" w:lineRule="atLeast"/>
              <w:rPr>
                <w:rFonts w:hint="eastAsia" w:ascii="宋体" w:hAnsi="宋体"/>
                <w:color w:val="000000"/>
                <w:szCs w:val="21"/>
              </w:rPr>
            </w:pPr>
            <w:r>
              <w:rPr>
                <w:rFonts w:hint="eastAsia" w:ascii="宋体" w:hAnsi="宋体"/>
                <w:color w:val="000000"/>
                <w:szCs w:val="21"/>
              </w:rPr>
              <w:t xml:space="preserve">满足资格审查强制性资格标准的，得基本分8分；拟投入本项目的项目负责人具备高级工程师的加2分。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53" w:type="dxa"/>
            <w:vMerge w:val="continue"/>
            <w:vAlign w:val="center"/>
          </w:tcPr>
          <w:p>
            <w:pPr>
              <w:spacing w:line="420" w:lineRule="atLeast"/>
              <w:jc w:val="center"/>
              <w:rPr>
                <w:rFonts w:ascii="宋体" w:hAnsi="宋体"/>
                <w:color w:val="000000"/>
                <w:szCs w:val="21"/>
              </w:rPr>
            </w:pPr>
          </w:p>
        </w:tc>
        <w:tc>
          <w:tcPr>
            <w:tcW w:w="2205" w:type="dxa"/>
            <w:vMerge w:val="continue"/>
            <w:vAlign w:val="center"/>
          </w:tcPr>
          <w:p>
            <w:pPr>
              <w:spacing w:line="420" w:lineRule="atLeast"/>
              <w:jc w:val="left"/>
              <w:rPr>
                <w:rFonts w:ascii="宋体" w:hAnsi="宋体"/>
                <w:color w:val="000000"/>
                <w:szCs w:val="21"/>
              </w:rPr>
            </w:pPr>
          </w:p>
        </w:tc>
        <w:tc>
          <w:tcPr>
            <w:tcW w:w="1470" w:type="dxa"/>
            <w:vMerge w:val="continue"/>
            <w:vAlign w:val="center"/>
          </w:tcPr>
          <w:p>
            <w:pPr>
              <w:spacing w:line="420" w:lineRule="atLeast"/>
              <w:jc w:val="center"/>
              <w:rPr>
                <w:rFonts w:ascii="宋体" w:hAnsi="宋体"/>
                <w:b/>
                <w:color w:val="000000"/>
                <w:szCs w:val="21"/>
              </w:rPr>
            </w:pPr>
          </w:p>
        </w:tc>
        <w:tc>
          <w:tcPr>
            <w:tcW w:w="2520" w:type="dxa"/>
            <w:vAlign w:val="center"/>
          </w:tcPr>
          <w:p>
            <w:pPr>
              <w:spacing w:line="420" w:lineRule="atLeast"/>
              <w:rPr>
                <w:rFonts w:ascii="宋体" w:hAnsi="宋体"/>
                <w:color w:val="000000"/>
                <w:szCs w:val="21"/>
              </w:rPr>
            </w:pPr>
            <w:r>
              <w:rPr>
                <w:rFonts w:hint="eastAsia" w:ascii="宋体" w:hAnsi="宋体"/>
                <w:color w:val="000000"/>
                <w:szCs w:val="21"/>
              </w:rPr>
              <w:t>各</w:t>
            </w:r>
            <w:r>
              <w:rPr>
                <w:rFonts w:ascii="宋体" w:hAnsi="宋体"/>
                <w:color w:val="000000"/>
                <w:szCs w:val="21"/>
              </w:rPr>
              <w:t>分项负责人任职资格与业绩</w:t>
            </w:r>
          </w:p>
        </w:tc>
        <w:tc>
          <w:tcPr>
            <w:tcW w:w="1116" w:type="dxa"/>
            <w:vAlign w:val="center"/>
          </w:tcPr>
          <w:p>
            <w:pPr>
              <w:spacing w:line="420" w:lineRule="atLeast"/>
              <w:jc w:val="center"/>
              <w:rPr>
                <w:rFonts w:ascii="宋体" w:hAnsi="宋体"/>
                <w:color w:val="000000"/>
                <w:szCs w:val="21"/>
              </w:rPr>
            </w:pPr>
            <w:r>
              <w:rPr>
                <w:rFonts w:hint="eastAsia" w:ascii="宋体" w:hAnsi="宋体"/>
                <w:color w:val="000000"/>
                <w:szCs w:val="21"/>
              </w:rPr>
              <w:t>10</w:t>
            </w:r>
            <w:r>
              <w:rPr>
                <w:rFonts w:ascii="宋体" w:hAnsi="宋体"/>
                <w:color w:val="000000"/>
                <w:szCs w:val="21"/>
              </w:rPr>
              <w:t>分</w:t>
            </w:r>
          </w:p>
        </w:tc>
        <w:tc>
          <w:tcPr>
            <w:tcW w:w="5394" w:type="dxa"/>
            <w:vAlign w:val="center"/>
          </w:tcPr>
          <w:p>
            <w:pPr>
              <w:spacing w:line="420" w:lineRule="atLeast"/>
              <w:rPr>
                <w:rFonts w:ascii="宋体" w:hAnsi="宋体"/>
                <w:color w:val="000000"/>
                <w:szCs w:val="21"/>
              </w:rPr>
            </w:pPr>
            <w:r>
              <w:rPr>
                <w:rFonts w:hint="eastAsia" w:ascii="宋体" w:hAnsi="宋体"/>
                <w:color w:val="000000"/>
                <w:szCs w:val="21"/>
              </w:rPr>
              <w:t>拟投入本项目主要专业技术人员的均满足招标文件强制性条款要求的得基本分2分；投入的人员中在满足强制性要求的基础上具备高级工程师职称的加2分，最多加8分；</w:t>
            </w:r>
            <w:r>
              <w:rPr>
                <w:rFonts w:ascii="宋体" w:hAnsi="宋体"/>
                <w:color w:val="000000"/>
                <w:szCs w:val="21"/>
              </w:rPr>
              <w:t xml:space="preserve"> </w:t>
            </w:r>
          </w:p>
        </w:tc>
      </w:tr>
    </w:tbl>
    <w:p>
      <w:r>
        <w:br w:type="page"/>
      </w:r>
    </w:p>
    <w:tbl>
      <w:tblPr>
        <w:tblStyle w:val="6"/>
        <w:tblW w:w="13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2333"/>
        <w:gridCol w:w="1276"/>
        <w:gridCol w:w="1968"/>
        <w:gridCol w:w="1680"/>
        <w:gridCol w:w="4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8718" w:type="dxa"/>
            <w:gridSpan w:val="5"/>
            <w:vAlign w:val="top"/>
          </w:tcPr>
          <w:p>
            <w:pPr>
              <w:spacing w:line="400" w:lineRule="atLeast"/>
              <w:jc w:val="center"/>
              <w:rPr>
                <w:rFonts w:ascii="宋体" w:hAnsi="宋体"/>
                <w:b/>
                <w:szCs w:val="21"/>
              </w:rPr>
            </w:pPr>
            <w:r>
              <w:rPr>
                <w:rFonts w:ascii="宋体" w:hAnsi="宋体"/>
                <w:b/>
                <w:szCs w:val="21"/>
              </w:rPr>
              <w:t>评</w:t>
            </w:r>
            <w:r>
              <w:rPr>
                <w:rFonts w:hint="eastAsia" w:ascii="宋体" w:hAnsi="宋体"/>
                <w:b/>
                <w:szCs w:val="21"/>
              </w:rPr>
              <w:t>审</w:t>
            </w:r>
            <w:r>
              <w:rPr>
                <w:rFonts w:ascii="宋体" w:hAnsi="宋体"/>
                <w:b/>
                <w:szCs w:val="21"/>
              </w:rPr>
              <w:t>因素与权重分值</w:t>
            </w:r>
          </w:p>
        </w:tc>
        <w:tc>
          <w:tcPr>
            <w:tcW w:w="4998" w:type="dxa"/>
            <w:vMerge w:val="restart"/>
            <w:vAlign w:val="center"/>
          </w:tcPr>
          <w:p>
            <w:pPr>
              <w:spacing w:line="420" w:lineRule="atLeast"/>
              <w:jc w:val="center"/>
              <w:rPr>
                <w:rFonts w:ascii="宋体" w:hAnsi="宋体"/>
                <w:b/>
                <w:szCs w:val="21"/>
              </w:rPr>
            </w:pPr>
            <w:r>
              <w:rPr>
                <w:rFonts w:ascii="宋体" w:hAnsi="宋体"/>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1461" w:type="dxa"/>
            <w:vAlign w:val="center"/>
          </w:tcPr>
          <w:p>
            <w:pPr>
              <w:spacing w:line="420" w:lineRule="atLeast"/>
              <w:jc w:val="center"/>
              <w:rPr>
                <w:rFonts w:ascii="宋体" w:hAnsi="宋体"/>
                <w:b/>
                <w:szCs w:val="21"/>
              </w:rPr>
            </w:pPr>
            <w:r>
              <w:rPr>
                <w:rFonts w:hint="eastAsia" w:ascii="宋体" w:hAnsi="宋体"/>
                <w:b/>
                <w:szCs w:val="21"/>
              </w:rPr>
              <w:t>序号</w:t>
            </w:r>
          </w:p>
        </w:tc>
        <w:tc>
          <w:tcPr>
            <w:tcW w:w="2333" w:type="dxa"/>
            <w:vAlign w:val="center"/>
          </w:tcPr>
          <w:p>
            <w:pPr>
              <w:spacing w:line="420" w:lineRule="atLeast"/>
              <w:jc w:val="center"/>
              <w:rPr>
                <w:rFonts w:ascii="宋体" w:hAnsi="宋体"/>
                <w:b/>
                <w:szCs w:val="21"/>
              </w:rPr>
            </w:pPr>
            <w:r>
              <w:rPr>
                <w:rFonts w:ascii="宋体" w:hAnsi="宋体"/>
                <w:b/>
                <w:szCs w:val="21"/>
              </w:rPr>
              <w:t>评</w:t>
            </w:r>
            <w:r>
              <w:rPr>
                <w:rFonts w:hint="eastAsia" w:ascii="宋体" w:hAnsi="宋体"/>
                <w:b/>
                <w:szCs w:val="21"/>
              </w:rPr>
              <w:t>审</w:t>
            </w:r>
            <w:r>
              <w:rPr>
                <w:rFonts w:ascii="宋体" w:hAnsi="宋体"/>
                <w:b/>
                <w:szCs w:val="21"/>
              </w:rPr>
              <w:t>因素</w:t>
            </w:r>
          </w:p>
        </w:tc>
        <w:tc>
          <w:tcPr>
            <w:tcW w:w="1276" w:type="dxa"/>
            <w:vAlign w:val="center"/>
          </w:tcPr>
          <w:p>
            <w:pPr>
              <w:spacing w:line="400" w:lineRule="atLeast"/>
              <w:jc w:val="center"/>
              <w:rPr>
                <w:rFonts w:ascii="宋体" w:hAnsi="宋体"/>
                <w:b/>
                <w:szCs w:val="21"/>
              </w:rPr>
            </w:pPr>
            <w:r>
              <w:rPr>
                <w:rFonts w:ascii="宋体" w:hAnsi="宋体"/>
                <w:b/>
                <w:szCs w:val="21"/>
              </w:rPr>
              <w:t>评</w:t>
            </w:r>
            <w:r>
              <w:rPr>
                <w:rFonts w:hint="eastAsia" w:ascii="宋体" w:hAnsi="宋体"/>
                <w:b/>
                <w:szCs w:val="21"/>
              </w:rPr>
              <w:t>审</w:t>
            </w:r>
            <w:r>
              <w:rPr>
                <w:rFonts w:ascii="宋体" w:hAnsi="宋体"/>
                <w:b/>
                <w:szCs w:val="21"/>
              </w:rPr>
              <w:t>因素权重分值</w:t>
            </w:r>
          </w:p>
        </w:tc>
        <w:tc>
          <w:tcPr>
            <w:tcW w:w="1968" w:type="dxa"/>
            <w:vAlign w:val="center"/>
          </w:tcPr>
          <w:p>
            <w:pPr>
              <w:spacing w:line="400" w:lineRule="atLeast"/>
              <w:jc w:val="center"/>
              <w:rPr>
                <w:rFonts w:ascii="宋体" w:hAnsi="宋体"/>
                <w:b/>
                <w:szCs w:val="21"/>
              </w:rPr>
            </w:pPr>
            <w:r>
              <w:rPr>
                <w:rFonts w:ascii="宋体" w:hAnsi="宋体"/>
                <w:b/>
                <w:szCs w:val="21"/>
              </w:rPr>
              <w:t>各评</w:t>
            </w:r>
            <w:r>
              <w:rPr>
                <w:rFonts w:hint="eastAsia" w:ascii="宋体" w:hAnsi="宋体"/>
                <w:b/>
                <w:szCs w:val="21"/>
              </w:rPr>
              <w:t>审</w:t>
            </w:r>
            <w:r>
              <w:rPr>
                <w:rFonts w:ascii="宋体" w:hAnsi="宋体"/>
                <w:b/>
                <w:szCs w:val="21"/>
              </w:rPr>
              <w:t>因素细分项</w:t>
            </w:r>
          </w:p>
        </w:tc>
        <w:tc>
          <w:tcPr>
            <w:tcW w:w="1680" w:type="dxa"/>
            <w:vAlign w:val="center"/>
          </w:tcPr>
          <w:p>
            <w:pPr>
              <w:spacing w:line="420" w:lineRule="atLeast"/>
              <w:jc w:val="center"/>
              <w:rPr>
                <w:rFonts w:ascii="宋体" w:hAnsi="宋体"/>
                <w:b/>
                <w:szCs w:val="21"/>
              </w:rPr>
            </w:pPr>
            <w:r>
              <w:rPr>
                <w:rFonts w:ascii="宋体" w:hAnsi="宋体"/>
                <w:b/>
                <w:szCs w:val="21"/>
              </w:rPr>
              <w:t>分值</w:t>
            </w:r>
          </w:p>
        </w:tc>
        <w:tc>
          <w:tcPr>
            <w:tcW w:w="4998" w:type="dxa"/>
            <w:vMerge w:val="continue"/>
            <w:vAlign w:val="top"/>
          </w:tcPr>
          <w:p>
            <w:pPr>
              <w:spacing w:line="420" w:lineRule="atLeas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461" w:type="dxa"/>
            <w:vMerge w:val="restart"/>
            <w:vAlign w:val="center"/>
          </w:tcPr>
          <w:p>
            <w:pPr>
              <w:spacing w:line="420" w:lineRule="atLeast"/>
              <w:jc w:val="center"/>
              <w:rPr>
                <w:rFonts w:ascii="宋体" w:hAnsi="宋体"/>
                <w:szCs w:val="21"/>
              </w:rPr>
            </w:pPr>
            <w:r>
              <w:rPr>
                <w:rFonts w:ascii="宋体" w:hAnsi="宋体"/>
                <w:snapToGrid w:val="0"/>
                <w:szCs w:val="21"/>
              </w:rPr>
              <w:t>(</w:t>
            </w:r>
            <w:r>
              <w:rPr>
                <w:rFonts w:hint="eastAsia" w:ascii="宋体" w:hAnsi="宋体"/>
                <w:snapToGrid w:val="0"/>
                <w:szCs w:val="21"/>
              </w:rPr>
              <w:t>3</w:t>
            </w:r>
            <w:r>
              <w:rPr>
                <w:rFonts w:ascii="宋体" w:hAnsi="宋体"/>
                <w:snapToGrid w:val="0"/>
                <w:szCs w:val="21"/>
              </w:rPr>
              <w:t>)</w:t>
            </w:r>
          </w:p>
        </w:tc>
        <w:tc>
          <w:tcPr>
            <w:tcW w:w="2333" w:type="dxa"/>
            <w:vMerge w:val="restart"/>
            <w:vAlign w:val="center"/>
          </w:tcPr>
          <w:p>
            <w:pPr>
              <w:spacing w:line="440" w:lineRule="exact"/>
              <w:jc w:val="left"/>
              <w:rPr>
                <w:rFonts w:ascii="宋体" w:hAnsi="宋体"/>
                <w:szCs w:val="21"/>
              </w:rPr>
            </w:pPr>
            <w:r>
              <w:rPr>
                <w:rFonts w:ascii="宋体" w:hAnsi="宋体"/>
                <w:snapToGrid w:val="0"/>
                <w:szCs w:val="21"/>
              </w:rPr>
              <w:t>对招标项目的理解和总体设计思路</w:t>
            </w:r>
          </w:p>
        </w:tc>
        <w:tc>
          <w:tcPr>
            <w:tcW w:w="1276" w:type="dxa"/>
            <w:vMerge w:val="restart"/>
            <w:vAlign w:val="center"/>
          </w:tcPr>
          <w:p>
            <w:pPr>
              <w:spacing w:line="420" w:lineRule="atLeast"/>
              <w:ind w:firstLine="105" w:firstLineChars="50"/>
              <w:jc w:val="center"/>
              <w:rPr>
                <w:rFonts w:ascii="宋体" w:hAnsi="宋体"/>
                <w:color w:val="000000"/>
                <w:szCs w:val="21"/>
              </w:rPr>
            </w:pPr>
            <w:r>
              <w:rPr>
                <w:rFonts w:hint="eastAsia" w:ascii="宋体" w:hAnsi="宋体"/>
                <w:color w:val="000000"/>
                <w:szCs w:val="21"/>
              </w:rPr>
              <w:t>10</w:t>
            </w:r>
            <w:r>
              <w:rPr>
                <w:rFonts w:ascii="宋体" w:hAnsi="宋体"/>
                <w:color w:val="000000"/>
                <w:szCs w:val="21"/>
              </w:rPr>
              <w:t>分</w:t>
            </w:r>
          </w:p>
        </w:tc>
        <w:tc>
          <w:tcPr>
            <w:tcW w:w="1968" w:type="dxa"/>
            <w:vAlign w:val="center"/>
          </w:tcPr>
          <w:p>
            <w:pPr>
              <w:spacing w:line="420" w:lineRule="atLeast"/>
              <w:rPr>
                <w:rFonts w:hint="eastAsia" w:ascii="宋体" w:hAnsi="宋体"/>
                <w:color w:val="000000"/>
                <w:szCs w:val="21"/>
              </w:rPr>
            </w:pPr>
            <w:r>
              <w:rPr>
                <w:rFonts w:hint="eastAsia" w:ascii="宋体" w:hAnsi="宋体"/>
                <w:color w:val="000000"/>
                <w:szCs w:val="21"/>
              </w:rPr>
              <w:t>建设方案</w:t>
            </w:r>
          </w:p>
        </w:tc>
        <w:tc>
          <w:tcPr>
            <w:tcW w:w="1680" w:type="dxa"/>
            <w:vAlign w:val="center"/>
          </w:tcPr>
          <w:p>
            <w:pPr>
              <w:spacing w:line="420" w:lineRule="atLeast"/>
              <w:jc w:val="center"/>
              <w:rPr>
                <w:rFonts w:ascii="宋体" w:hAnsi="宋体"/>
                <w:color w:val="000000"/>
                <w:szCs w:val="21"/>
              </w:rPr>
            </w:pPr>
            <w:r>
              <w:rPr>
                <w:rFonts w:hint="eastAsia" w:ascii="宋体" w:hAnsi="宋体"/>
                <w:color w:val="000000"/>
                <w:szCs w:val="21"/>
              </w:rPr>
              <w:t>5</w:t>
            </w:r>
            <w:r>
              <w:rPr>
                <w:rFonts w:ascii="宋体" w:hAnsi="宋体"/>
                <w:color w:val="000000"/>
                <w:szCs w:val="21"/>
              </w:rPr>
              <w:t>分</w:t>
            </w:r>
          </w:p>
        </w:tc>
        <w:tc>
          <w:tcPr>
            <w:tcW w:w="4998" w:type="dxa"/>
            <w:vAlign w:val="center"/>
          </w:tcPr>
          <w:p>
            <w:pPr>
              <w:spacing w:line="380" w:lineRule="atLeast"/>
              <w:rPr>
                <w:rFonts w:ascii="宋体" w:hAnsi="宋体"/>
                <w:color w:val="000000"/>
                <w:szCs w:val="21"/>
              </w:rPr>
            </w:pPr>
            <w:r>
              <w:rPr>
                <w:rFonts w:hint="eastAsia" w:ascii="宋体" w:hAnsi="宋体"/>
                <w:color w:val="000000"/>
                <w:szCs w:val="21"/>
              </w:rPr>
              <w:t>投标人能充分了解项目区域的建设环境、现有路网的现状和沿线城镇的发展规划，熟悉当地民族文化，对本项目的建设方案论证合理的得4～5分，欠缺者得3～4分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461" w:type="dxa"/>
            <w:vMerge w:val="continue"/>
            <w:vAlign w:val="center"/>
          </w:tcPr>
          <w:p>
            <w:pPr>
              <w:spacing w:line="420" w:lineRule="atLeast"/>
              <w:jc w:val="center"/>
              <w:rPr>
                <w:rFonts w:ascii="宋体" w:hAnsi="宋体"/>
                <w:snapToGrid w:val="0"/>
                <w:szCs w:val="21"/>
              </w:rPr>
            </w:pPr>
          </w:p>
        </w:tc>
        <w:tc>
          <w:tcPr>
            <w:tcW w:w="2333" w:type="dxa"/>
            <w:vMerge w:val="continue"/>
            <w:vAlign w:val="center"/>
          </w:tcPr>
          <w:p>
            <w:pPr>
              <w:spacing w:line="440" w:lineRule="exact"/>
              <w:jc w:val="left"/>
              <w:rPr>
                <w:rFonts w:ascii="宋体" w:hAnsi="宋体"/>
                <w:snapToGrid w:val="0"/>
                <w:szCs w:val="21"/>
              </w:rPr>
            </w:pPr>
          </w:p>
        </w:tc>
        <w:tc>
          <w:tcPr>
            <w:tcW w:w="1276" w:type="dxa"/>
            <w:vMerge w:val="continue"/>
            <w:vAlign w:val="center"/>
          </w:tcPr>
          <w:p>
            <w:pPr>
              <w:spacing w:line="420" w:lineRule="atLeast"/>
              <w:jc w:val="center"/>
              <w:rPr>
                <w:rFonts w:ascii="宋体" w:hAnsi="宋体"/>
                <w:color w:val="000000"/>
                <w:szCs w:val="21"/>
              </w:rPr>
            </w:pPr>
          </w:p>
        </w:tc>
        <w:tc>
          <w:tcPr>
            <w:tcW w:w="1968" w:type="dxa"/>
            <w:vAlign w:val="center"/>
          </w:tcPr>
          <w:p>
            <w:pPr>
              <w:spacing w:line="420" w:lineRule="atLeast"/>
              <w:rPr>
                <w:rFonts w:ascii="宋体" w:hAnsi="宋体"/>
                <w:color w:val="000000"/>
                <w:szCs w:val="21"/>
              </w:rPr>
            </w:pPr>
            <w:r>
              <w:rPr>
                <w:rFonts w:hint="eastAsia" w:ascii="宋体" w:hAnsi="宋体"/>
                <w:color w:val="000000"/>
                <w:szCs w:val="21"/>
              </w:rPr>
              <w:t>总体设计思路</w:t>
            </w:r>
          </w:p>
        </w:tc>
        <w:tc>
          <w:tcPr>
            <w:tcW w:w="1680" w:type="dxa"/>
            <w:vAlign w:val="center"/>
          </w:tcPr>
          <w:p>
            <w:pPr>
              <w:spacing w:line="420" w:lineRule="atLeast"/>
              <w:jc w:val="center"/>
              <w:rPr>
                <w:rFonts w:ascii="宋体" w:hAnsi="宋体"/>
                <w:color w:val="000000"/>
                <w:szCs w:val="21"/>
              </w:rPr>
            </w:pPr>
            <w:r>
              <w:rPr>
                <w:rFonts w:hint="eastAsia" w:ascii="宋体" w:hAnsi="宋体"/>
                <w:color w:val="000000"/>
                <w:szCs w:val="21"/>
              </w:rPr>
              <w:t>5</w:t>
            </w:r>
            <w:r>
              <w:rPr>
                <w:rFonts w:ascii="宋体" w:hAnsi="宋体"/>
                <w:color w:val="000000"/>
                <w:szCs w:val="21"/>
              </w:rPr>
              <w:t>分</w:t>
            </w:r>
          </w:p>
        </w:tc>
        <w:tc>
          <w:tcPr>
            <w:tcW w:w="4998" w:type="dxa"/>
            <w:vAlign w:val="center"/>
          </w:tcPr>
          <w:p>
            <w:pPr>
              <w:spacing w:line="380" w:lineRule="atLeast"/>
              <w:rPr>
                <w:rFonts w:ascii="宋体" w:hAnsi="宋体"/>
                <w:color w:val="000000"/>
                <w:szCs w:val="21"/>
              </w:rPr>
            </w:pPr>
            <w:r>
              <w:rPr>
                <w:rFonts w:hint="eastAsia" w:ascii="宋体" w:hAnsi="宋体"/>
                <w:color w:val="000000"/>
                <w:szCs w:val="21"/>
              </w:rPr>
              <w:t>所推荐的路线总体设计方案经济合理，各项主要指标应用适当，技术建议书思路清晰，重点突出，工程造价初步测算合理得4～5分，欠缺者得3～4分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461" w:type="dxa"/>
            <w:vAlign w:val="center"/>
          </w:tcPr>
          <w:p>
            <w:pPr>
              <w:spacing w:line="420" w:lineRule="atLeast"/>
              <w:jc w:val="center"/>
              <w:rPr>
                <w:rFonts w:ascii="宋体" w:hAnsi="宋体"/>
                <w:szCs w:val="21"/>
              </w:rPr>
            </w:pPr>
            <w:r>
              <w:rPr>
                <w:rFonts w:ascii="宋体" w:hAnsi="宋体"/>
                <w:snapToGrid w:val="0"/>
                <w:szCs w:val="21"/>
              </w:rPr>
              <w:t>(</w:t>
            </w:r>
            <w:r>
              <w:rPr>
                <w:rFonts w:hint="eastAsia" w:ascii="宋体" w:hAnsi="宋体"/>
                <w:snapToGrid w:val="0"/>
                <w:szCs w:val="21"/>
              </w:rPr>
              <w:t>4</w:t>
            </w:r>
            <w:r>
              <w:rPr>
                <w:rFonts w:ascii="宋体" w:hAnsi="宋体"/>
                <w:snapToGrid w:val="0"/>
                <w:szCs w:val="21"/>
              </w:rPr>
              <w:t>)</w:t>
            </w:r>
          </w:p>
        </w:tc>
        <w:tc>
          <w:tcPr>
            <w:tcW w:w="2333" w:type="dxa"/>
            <w:vAlign w:val="center"/>
          </w:tcPr>
          <w:p>
            <w:pPr>
              <w:spacing w:line="440" w:lineRule="exact"/>
              <w:jc w:val="left"/>
              <w:rPr>
                <w:rFonts w:ascii="宋体" w:hAnsi="宋体"/>
                <w:snapToGrid w:val="0"/>
                <w:szCs w:val="21"/>
              </w:rPr>
            </w:pPr>
            <w:r>
              <w:rPr>
                <w:rFonts w:ascii="宋体" w:hAnsi="宋体"/>
                <w:snapToGrid w:val="0"/>
                <w:szCs w:val="21"/>
              </w:rPr>
              <w:t>招标项目勘察设计的特点、关键技术问题的认识及其对策措施</w:t>
            </w:r>
          </w:p>
        </w:tc>
        <w:tc>
          <w:tcPr>
            <w:tcW w:w="1276" w:type="dxa"/>
            <w:vAlign w:val="center"/>
          </w:tcPr>
          <w:p>
            <w:pPr>
              <w:spacing w:line="420" w:lineRule="atLeast"/>
              <w:jc w:val="center"/>
              <w:rPr>
                <w:rFonts w:ascii="宋体" w:hAnsi="宋体"/>
                <w:color w:val="000000"/>
                <w:szCs w:val="21"/>
              </w:rPr>
            </w:pPr>
            <w:r>
              <w:rPr>
                <w:rFonts w:hint="eastAsia" w:ascii="宋体" w:hAnsi="宋体"/>
                <w:color w:val="000000"/>
                <w:szCs w:val="21"/>
              </w:rPr>
              <w:t>8</w:t>
            </w:r>
            <w:r>
              <w:rPr>
                <w:rFonts w:ascii="宋体" w:hAnsi="宋体"/>
                <w:color w:val="000000"/>
                <w:szCs w:val="21"/>
              </w:rPr>
              <w:t>分</w:t>
            </w:r>
          </w:p>
        </w:tc>
        <w:tc>
          <w:tcPr>
            <w:tcW w:w="1968" w:type="dxa"/>
            <w:vAlign w:val="center"/>
          </w:tcPr>
          <w:p>
            <w:pPr>
              <w:spacing w:line="420" w:lineRule="atLeast"/>
              <w:rPr>
                <w:rFonts w:ascii="宋体" w:hAnsi="宋体"/>
                <w:color w:val="000000"/>
                <w:szCs w:val="21"/>
              </w:rPr>
            </w:pPr>
          </w:p>
        </w:tc>
        <w:tc>
          <w:tcPr>
            <w:tcW w:w="1680" w:type="dxa"/>
            <w:vAlign w:val="center"/>
          </w:tcPr>
          <w:p>
            <w:pPr>
              <w:spacing w:line="420" w:lineRule="atLeast"/>
              <w:jc w:val="center"/>
              <w:rPr>
                <w:rFonts w:ascii="宋体" w:hAnsi="宋体"/>
                <w:color w:val="000000"/>
                <w:szCs w:val="21"/>
              </w:rPr>
            </w:pPr>
            <w:r>
              <w:rPr>
                <w:rFonts w:hint="eastAsia" w:ascii="宋体" w:hAnsi="宋体"/>
                <w:color w:val="000000"/>
                <w:szCs w:val="21"/>
              </w:rPr>
              <w:t>8</w:t>
            </w:r>
            <w:r>
              <w:rPr>
                <w:rFonts w:ascii="宋体" w:hAnsi="宋体"/>
                <w:color w:val="000000"/>
                <w:szCs w:val="21"/>
              </w:rPr>
              <w:t>分</w:t>
            </w:r>
          </w:p>
        </w:tc>
        <w:tc>
          <w:tcPr>
            <w:tcW w:w="4998" w:type="dxa"/>
            <w:vAlign w:val="center"/>
          </w:tcPr>
          <w:p>
            <w:pPr>
              <w:spacing w:line="380" w:lineRule="atLeast"/>
              <w:rPr>
                <w:rFonts w:ascii="宋体" w:hAnsi="宋体"/>
                <w:color w:val="000000"/>
                <w:szCs w:val="21"/>
              </w:rPr>
            </w:pPr>
            <w:r>
              <w:rPr>
                <w:rFonts w:hint="eastAsia" w:ascii="宋体" w:hAnsi="宋体"/>
                <w:color w:val="000000"/>
                <w:szCs w:val="21"/>
              </w:rPr>
              <w:t>了解了本项目沿线主要病害的分布情况，对沿线病害的处治方案选择经济合理，技术关键点和难点论述清楚，对策措施合理得6～8分，较合理得5～6分，欠缺者得4～5分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461" w:type="dxa"/>
            <w:vAlign w:val="center"/>
          </w:tcPr>
          <w:p>
            <w:pPr>
              <w:spacing w:line="420" w:lineRule="atLeast"/>
              <w:jc w:val="center"/>
              <w:rPr>
                <w:rFonts w:ascii="宋体" w:hAnsi="宋体"/>
                <w:szCs w:val="21"/>
              </w:rPr>
            </w:pPr>
            <w:r>
              <w:rPr>
                <w:rFonts w:hint="eastAsia" w:ascii="宋体" w:hAnsi="宋体"/>
                <w:szCs w:val="21"/>
              </w:rPr>
              <w:t>（5</w:t>
            </w:r>
            <w:r>
              <w:rPr>
                <w:rFonts w:ascii="宋体" w:hAnsi="宋体"/>
                <w:szCs w:val="21"/>
              </w:rPr>
              <w:t>）</w:t>
            </w:r>
          </w:p>
        </w:tc>
        <w:tc>
          <w:tcPr>
            <w:tcW w:w="2333" w:type="dxa"/>
            <w:vAlign w:val="center"/>
          </w:tcPr>
          <w:p>
            <w:pPr>
              <w:spacing w:line="440" w:lineRule="exact"/>
              <w:jc w:val="left"/>
              <w:rPr>
                <w:rFonts w:hint="eastAsia" w:ascii="宋体" w:hAnsi="宋体"/>
                <w:szCs w:val="21"/>
              </w:rPr>
            </w:pPr>
            <w:r>
              <w:rPr>
                <w:rFonts w:ascii="宋体" w:hAnsi="宋体"/>
                <w:snapToGrid w:val="0"/>
                <w:szCs w:val="21"/>
              </w:rPr>
              <w:t>勘察设计工作量及计划安排</w:t>
            </w:r>
          </w:p>
        </w:tc>
        <w:tc>
          <w:tcPr>
            <w:tcW w:w="1276" w:type="dxa"/>
            <w:vAlign w:val="center"/>
          </w:tcPr>
          <w:p>
            <w:pPr>
              <w:spacing w:line="420" w:lineRule="atLeast"/>
              <w:jc w:val="center"/>
              <w:rPr>
                <w:rFonts w:ascii="宋体" w:hAnsi="宋体"/>
                <w:szCs w:val="21"/>
              </w:rPr>
            </w:pPr>
            <w:r>
              <w:rPr>
                <w:rFonts w:hint="eastAsia" w:ascii="宋体" w:hAnsi="宋体"/>
                <w:szCs w:val="21"/>
              </w:rPr>
              <w:t>3</w:t>
            </w:r>
            <w:r>
              <w:rPr>
                <w:rFonts w:ascii="宋体" w:hAnsi="宋体"/>
                <w:szCs w:val="21"/>
              </w:rPr>
              <w:t xml:space="preserve"> 分</w:t>
            </w:r>
          </w:p>
        </w:tc>
        <w:tc>
          <w:tcPr>
            <w:tcW w:w="1968" w:type="dxa"/>
            <w:vAlign w:val="center"/>
          </w:tcPr>
          <w:p>
            <w:pPr>
              <w:spacing w:line="420" w:lineRule="atLeast"/>
              <w:rPr>
                <w:rFonts w:ascii="宋体" w:hAnsi="宋体"/>
                <w:szCs w:val="21"/>
              </w:rPr>
            </w:pPr>
          </w:p>
          <w:p>
            <w:pPr>
              <w:spacing w:line="420" w:lineRule="atLeast"/>
              <w:rPr>
                <w:rFonts w:ascii="宋体" w:hAnsi="宋体"/>
                <w:szCs w:val="21"/>
              </w:rPr>
            </w:pPr>
          </w:p>
        </w:tc>
        <w:tc>
          <w:tcPr>
            <w:tcW w:w="1680" w:type="dxa"/>
            <w:vAlign w:val="center"/>
          </w:tcPr>
          <w:p>
            <w:pPr>
              <w:spacing w:line="420" w:lineRule="atLeast"/>
              <w:jc w:val="center"/>
              <w:rPr>
                <w:rFonts w:ascii="宋体" w:hAnsi="宋体"/>
                <w:szCs w:val="21"/>
              </w:rPr>
            </w:pPr>
            <w:r>
              <w:rPr>
                <w:rFonts w:hint="eastAsia" w:ascii="宋体" w:hAnsi="宋体"/>
                <w:szCs w:val="21"/>
              </w:rPr>
              <w:t>3</w:t>
            </w:r>
            <w:r>
              <w:rPr>
                <w:rFonts w:ascii="宋体" w:hAnsi="宋体"/>
                <w:szCs w:val="21"/>
              </w:rPr>
              <w:t>分</w:t>
            </w:r>
          </w:p>
        </w:tc>
        <w:tc>
          <w:tcPr>
            <w:tcW w:w="4998" w:type="dxa"/>
            <w:vAlign w:val="center"/>
          </w:tcPr>
          <w:p>
            <w:pPr>
              <w:spacing w:line="380" w:lineRule="atLeast"/>
              <w:rPr>
                <w:rFonts w:hint="eastAsia" w:ascii="宋体" w:hAnsi="宋体"/>
                <w:szCs w:val="21"/>
              </w:rPr>
            </w:pPr>
            <w:r>
              <w:rPr>
                <w:rFonts w:hint="eastAsia" w:ascii="宋体" w:hAnsi="宋体"/>
                <w:szCs w:val="21"/>
              </w:rPr>
              <w:t>各阶段和环节的人员及时间安排切合实际，合理可行，各专业组之间的工作衔接紧密，各阶段测设工作方案工序流程图结构合理得2～3分，欠缺者1～2分</w:t>
            </w:r>
          </w:p>
        </w:tc>
      </w:tr>
    </w:tbl>
    <w:p>
      <w:r>
        <w:br w:type="page"/>
      </w:r>
    </w:p>
    <w:tbl>
      <w:tblPr>
        <w:tblStyle w:val="6"/>
        <w:tblW w:w="144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2333"/>
        <w:gridCol w:w="1276"/>
        <w:gridCol w:w="2693"/>
        <w:gridCol w:w="1701"/>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9464" w:type="dxa"/>
            <w:gridSpan w:val="5"/>
            <w:vAlign w:val="top"/>
          </w:tcPr>
          <w:p>
            <w:pPr>
              <w:spacing w:line="420" w:lineRule="atLeast"/>
              <w:jc w:val="center"/>
              <w:rPr>
                <w:rFonts w:ascii="宋体" w:hAnsi="宋体"/>
                <w:b/>
                <w:szCs w:val="21"/>
              </w:rPr>
            </w:pPr>
            <w:r>
              <w:rPr>
                <w:rFonts w:ascii="宋体" w:hAnsi="宋体"/>
                <w:b/>
                <w:szCs w:val="21"/>
              </w:rPr>
              <w:t>评</w:t>
            </w:r>
            <w:r>
              <w:rPr>
                <w:rFonts w:hint="eastAsia" w:ascii="宋体" w:hAnsi="宋体"/>
                <w:b/>
                <w:szCs w:val="21"/>
              </w:rPr>
              <w:t>审</w:t>
            </w:r>
            <w:r>
              <w:rPr>
                <w:rFonts w:ascii="宋体" w:hAnsi="宋体"/>
                <w:b/>
                <w:szCs w:val="21"/>
              </w:rPr>
              <w:t>因素与权重分值</w:t>
            </w:r>
          </w:p>
        </w:tc>
        <w:tc>
          <w:tcPr>
            <w:tcW w:w="4950" w:type="dxa"/>
            <w:vMerge w:val="restart"/>
            <w:vAlign w:val="center"/>
          </w:tcPr>
          <w:p>
            <w:pPr>
              <w:spacing w:line="420" w:lineRule="atLeast"/>
              <w:jc w:val="center"/>
              <w:rPr>
                <w:rFonts w:ascii="宋体" w:hAnsi="宋体"/>
                <w:b/>
                <w:szCs w:val="21"/>
              </w:rPr>
            </w:pPr>
            <w:r>
              <w:rPr>
                <w:rFonts w:ascii="宋体" w:hAnsi="宋体"/>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1461" w:type="dxa"/>
            <w:vAlign w:val="center"/>
          </w:tcPr>
          <w:p>
            <w:pPr>
              <w:spacing w:line="420" w:lineRule="atLeast"/>
              <w:jc w:val="center"/>
              <w:rPr>
                <w:rFonts w:ascii="宋体" w:hAnsi="宋体"/>
                <w:b/>
                <w:szCs w:val="21"/>
              </w:rPr>
            </w:pPr>
            <w:r>
              <w:rPr>
                <w:rFonts w:hint="eastAsia" w:ascii="宋体" w:hAnsi="宋体"/>
                <w:b/>
                <w:szCs w:val="21"/>
              </w:rPr>
              <w:t>序号</w:t>
            </w:r>
          </w:p>
        </w:tc>
        <w:tc>
          <w:tcPr>
            <w:tcW w:w="2333" w:type="dxa"/>
            <w:vAlign w:val="center"/>
          </w:tcPr>
          <w:p>
            <w:pPr>
              <w:spacing w:line="420" w:lineRule="atLeast"/>
              <w:jc w:val="center"/>
              <w:rPr>
                <w:rFonts w:ascii="宋体" w:hAnsi="宋体"/>
                <w:b/>
                <w:szCs w:val="21"/>
              </w:rPr>
            </w:pPr>
            <w:r>
              <w:rPr>
                <w:rFonts w:ascii="宋体" w:hAnsi="宋体"/>
                <w:b/>
                <w:szCs w:val="21"/>
              </w:rPr>
              <w:t>评</w:t>
            </w:r>
            <w:r>
              <w:rPr>
                <w:rFonts w:hint="eastAsia" w:ascii="宋体" w:hAnsi="宋体"/>
                <w:b/>
                <w:szCs w:val="21"/>
              </w:rPr>
              <w:t>审</w:t>
            </w:r>
            <w:r>
              <w:rPr>
                <w:rFonts w:ascii="宋体" w:hAnsi="宋体"/>
                <w:b/>
                <w:szCs w:val="21"/>
              </w:rPr>
              <w:t>因素</w:t>
            </w:r>
          </w:p>
        </w:tc>
        <w:tc>
          <w:tcPr>
            <w:tcW w:w="1276" w:type="dxa"/>
            <w:vAlign w:val="center"/>
          </w:tcPr>
          <w:p>
            <w:pPr>
              <w:spacing w:line="420" w:lineRule="atLeast"/>
              <w:jc w:val="center"/>
              <w:rPr>
                <w:rFonts w:ascii="宋体" w:hAnsi="宋体"/>
                <w:b/>
                <w:szCs w:val="21"/>
              </w:rPr>
            </w:pPr>
            <w:r>
              <w:rPr>
                <w:rFonts w:ascii="宋体" w:hAnsi="宋体"/>
                <w:b/>
                <w:szCs w:val="21"/>
              </w:rPr>
              <w:t>评</w:t>
            </w:r>
            <w:r>
              <w:rPr>
                <w:rFonts w:hint="eastAsia" w:ascii="宋体" w:hAnsi="宋体"/>
                <w:b/>
                <w:szCs w:val="21"/>
              </w:rPr>
              <w:t>审</w:t>
            </w:r>
            <w:r>
              <w:rPr>
                <w:rFonts w:ascii="宋体" w:hAnsi="宋体"/>
                <w:b/>
                <w:szCs w:val="21"/>
              </w:rPr>
              <w:t>因素权重分值</w:t>
            </w:r>
          </w:p>
        </w:tc>
        <w:tc>
          <w:tcPr>
            <w:tcW w:w="2693" w:type="dxa"/>
            <w:vAlign w:val="center"/>
          </w:tcPr>
          <w:p>
            <w:pPr>
              <w:spacing w:line="420" w:lineRule="atLeast"/>
              <w:jc w:val="center"/>
              <w:rPr>
                <w:rFonts w:ascii="宋体" w:hAnsi="宋体"/>
                <w:b/>
                <w:szCs w:val="21"/>
              </w:rPr>
            </w:pPr>
            <w:r>
              <w:rPr>
                <w:rFonts w:ascii="宋体" w:hAnsi="宋体"/>
                <w:b/>
                <w:szCs w:val="21"/>
              </w:rPr>
              <w:t>各评</w:t>
            </w:r>
            <w:r>
              <w:rPr>
                <w:rFonts w:hint="eastAsia" w:ascii="宋体" w:hAnsi="宋体"/>
                <w:b/>
                <w:szCs w:val="21"/>
              </w:rPr>
              <w:t>审</w:t>
            </w:r>
            <w:r>
              <w:rPr>
                <w:rFonts w:ascii="宋体" w:hAnsi="宋体"/>
                <w:b/>
                <w:szCs w:val="21"/>
              </w:rPr>
              <w:t>因素细分项</w:t>
            </w:r>
          </w:p>
        </w:tc>
        <w:tc>
          <w:tcPr>
            <w:tcW w:w="1701" w:type="dxa"/>
            <w:vAlign w:val="center"/>
          </w:tcPr>
          <w:p>
            <w:pPr>
              <w:spacing w:line="420" w:lineRule="atLeast"/>
              <w:jc w:val="center"/>
              <w:rPr>
                <w:rFonts w:ascii="宋体" w:hAnsi="宋体"/>
                <w:b/>
                <w:szCs w:val="21"/>
              </w:rPr>
            </w:pPr>
            <w:r>
              <w:rPr>
                <w:rFonts w:ascii="宋体" w:hAnsi="宋体"/>
                <w:b/>
                <w:szCs w:val="21"/>
              </w:rPr>
              <w:t>分值</w:t>
            </w:r>
          </w:p>
        </w:tc>
        <w:tc>
          <w:tcPr>
            <w:tcW w:w="4950" w:type="dxa"/>
            <w:vMerge w:val="continue"/>
            <w:vAlign w:val="top"/>
          </w:tcPr>
          <w:p>
            <w:pPr>
              <w:spacing w:line="420" w:lineRule="atLeas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461" w:type="dxa"/>
            <w:vMerge w:val="restart"/>
            <w:vAlign w:val="center"/>
          </w:tcPr>
          <w:p>
            <w:pPr>
              <w:spacing w:line="420" w:lineRule="atLeast"/>
              <w:jc w:val="center"/>
              <w:rPr>
                <w:rFonts w:ascii="宋体" w:hAnsi="宋体"/>
                <w:szCs w:val="21"/>
              </w:rPr>
            </w:pPr>
            <w:r>
              <w:rPr>
                <w:rFonts w:ascii="宋体" w:hAnsi="宋体"/>
                <w:szCs w:val="21"/>
              </w:rPr>
              <w:t>（</w:t>
            </w:r>
            <w:r>
              <w:rPr>
                <w:rFonts w:hint="eastAsia" w:ascii="宋体" w:hAnsi="宋体"/>
                <w:szCs w:val="21"/>
              </w:rPr>
              <w:t>6</w:t>
            </w:r>
            <w:r>
              <w:rPr>
                <w:rFonts w:ascii="宋体" w:hAnsi="宋体"/>
                <w:szCs w:val="21"/>
              </w:rPr>
              <w:t>）</w:t>
            </w:r>
          </w:p>
        </w:tc>
        <w:tc>
          <w:tcPr>
            <w:tcW w:w="2333" w:type="dxa"/>
            <w:vMerge w:val="restart"/>
            <w:vAlign w:val="center"/>
          </w:tcPr>
          <w:p>
            <w:pPr>
              <w:spacing w:line="420" w:lineRule="atLeast"/>
              <w:jc w:val="left"/>
              <w:rPr>
                <w:rFonts w:ascii="宋体" w:hAnsi="宋体"/>
                <w:szCs w:val="21"/>
              </w:rPr>
            </w:pPr>
            <w:r>
              <w:rPr>
                <w:rFonts w:hint="eastAsia" w:ascii="宋体" w:hAnsi="宋体"/>
                <w:szCs w:val="21"/>
              </w:rPr>
              <w:t>勘察设计的质量保证措施、进度保证措施</w:t>
            </w:r>
          </w:p>
        </w:tc>
        <w:tc>
          <w:tcPr>
            <w:tcW w:w="1276" w:type="dxa"/>
            <w:vMerge w:val="restart"/>
            <w:vAlign w:val="center"/>
          </w:tcPr>
          <w:p>
            <w:pPr>
              <w:spacing w:line="420" w:lineRule="atLeast"/>
              <w:jc w:val="center"/>
              <w:rPr>
                <w:rFonts w:ascii="宋体" w:hAnsi="宋体"/>
                <w:color w:val="000000"/>
                <w:szCs w:val="21"/>
              </w:rPr>
            </w:pPr>
            <w:r>
              <w:rPr>
                <w:rFonts w:hint="eastAsia" w:ascii="宋体" w:hAnsi="宋体"/>
                <w:color w:val="000000"/>
                <w:szCs w:val="21"/>
              </w:rPr>
              <w:t>4</w:t>
            </w:r>
            <w:r>
              <w:rPr>
                <w:rFonts w:ascii="宋体" w:hAnsi="宋体"/>
                <w:color w:val="000000"/>
                <w:szCs w:val="21"/>
              </w:rPr>
              <w:t xml:space="preserve"> 分</w:t>
            </w:r>
          </w:p>
        </w:tc>
        <w:tc>
          <w:tcPr>
            <w:tcW w:w="2693" w:type="dxa"/>
            <w:vAlign w:val="center"/>
          </w:tcPr>
          <w:p>
            <w:pPr>
              <w:spacing w:line="420" w:lineRule="atLeast"/>
              <w:rPr>
                <w:rFonts w:ascii="宋体" w:hAnsi="宋体"/>
                <w:color w:val="000000"/>
                <w:szCs w:val="21"/>
              </w:rPr>
            </w:pPr>
            <w:r>
              <w:rPr>
                <w:rFonts w:hint="eastAsia" w:ascii="宋体" w:hAnsi="宋体"/>
                <w:color w:val="000000"/>
                <w:szCs w:val="21"/>
              </w:rPr>
              <w:t>质量保证措施</w:t>
            </w:r>
          </w:p>
        </w:tc>
        <w:tc>
          <w:tcPr>
            <w:tcW w:w="1701" w:type="dxa"/>
            <w:vAlign w:val="center"/>
          </w:tcPr>
          <w:p>
            <w:pPr>
              <w:spacing w:line="420" w:lineRule="atLeast"/>
              <w:jc w:val="center"/>
              <w:rPr>
                <w:rFonts w:ascii="宋体" w:hAnsi="宋体"/>
                <w:color w:val="000000"/>
                <w:szCs w:val="21"/>
              </w:rPr>
            </w:pPr>
            <w:r>
              <w:rPr>
                <w:rFonts w:hint="eastAsia" w:ascii="宋体" w:hAnsi="宋体"/>
                <w:color w:val="000000"/>
                <w:szCs w:val="21"/>
              </w:rPr>
              <w:t>2</w:t>
            </w:r>
            <w:r>
              <w:rPr>
                <w:rFonts w:ascii="宋体" w:hAnsi="宋体"/>
                <w:color w:val="000000"/>
                <w:szCs w:val="21"/>
              </w:rPr>
              <w:t>分</w:t>
            </w:r>
          </w:p>
        </w:tc>
        <w:tc>
          <w:tcPr>
            <w:tcW w:w="4950" w:type="dxa"/>
            <w:vAlign w:val="center"/>
          </w:tcPr>
          <w:p>
            <w:pPr>
              <w:spacing w:line="420" w:lineRule="atLeast"/>
              <w:rPr>
                <w:rFonts w:ascii="宋体" w:hAnsi="宋体"/>
                <w:color w:val="000000"/>
                <w:szCs w:val="21"/>
              </w:rPr>
            </w:pPr>
            <w:r>
              <w:rPr>
                <w:rFonts w:hint="eastAsia" w:ascii="宋体" w:hAnsi="宋体"/>
                <w:color w:val="000000"/>
                <w:szCs w:val="21"/>
              </w:rPr>
              <w:t>内容全面，测设各环节均处在受控状态，质量控制流程图清晰合理，无失控点，得2分；欠缺者得1.2～2分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461" w:type="dxa"/>
            <w:vMerge w:val="continue"/>
            <w:vAlign w:val="center"/>
          </w:tcPr>
          <w:p>
            <w:pPr>
              <w:spacing w:line="420" w:lineRule="atLeast"/>
              <w:jc w:val="center"/>
              <w:rPr>
                <w:rFonts w:ascii="宋体" w:hAnsi="宋体"/>
                <w:szCs w:val="21"/>
              </w:rPr>
            </w:pPr>
          </w:p>
        </w:tc>
        <w:tc>
          <w:tcPr>
            <w:tcW w:w="2333" w:type="dxa"/>
            <w:vMerge w:val="continue"/>
            <w:vAlign w:val="center"/>
          </w:tcPr>
          <w:p>
            <w:pPr>
              <w:spacing w:line="420" w:lineRule="atLeast"/>
              <w:jc w:val="left"/>
              <w:rPr>
                <w:rFonts w:ascii="宋体" w:hAnsi="宋体"/>
                <w:szCs w:val="21"/>
              </w:rPr>
            </w:pPr>
          </w:p>
        </w:tc>
        <w:tc>
          <w:tcPr>
            <w:tcW w:w="1276" w:type="dxa"/>
            <w:vMerge w:val="continue"/>
            <w:vAlign w:val="center"/>
          </w:tcPr>
          <w:p>
            <w:pPr>
              <w:spacing w:line="420" w:lineRule="atLeast"/>
              <w:jc w:val="center"/>
              <w:rPr>
                <w:rFonts w:ascii="宋体" w:hAnsi="宋体"/>
                <w:b/>
                <w:color w:val="000000"/>
                <w:szCs w:val="21"/>
              </w:rPr>
            </w:pPr>
          </w:p>
        </w:tc>
        <w:tc>
          <w:tcPr>
            <w:tcW w:w="2693" w:type="dxa"/>
            <w:vAlign w:val="center"/>
          </w:tcPr>
          <w:p>
            <w:pPr>
              <w:spacing w:line="420" w:lineRule="atLeast"/>
              <w:rPr>
                <w:rFonts w:hint="eastAsia" w:ascii="宋体" w:hAnsi="宋体"/>
                <w:color w:val="000000"/>
                <w:szCs w:val="21"/>
              </w:rPr>
            </w:pPr>
            <w:r>
              <w:rPr>
                <w:rFonts w:hint="eastAsia" w:ascii="宋体" w:hAnsi="宋体"/>
                <w:color w:val="000000"/>
                <w:szCs w:val="21"/>
              </w:rPr>
              <w:t>进度保证措施</w:t>
            </w:r>
          </w:p>
        </w:tc>
        <w:tc>
          <w:tcPr>
            <w:tcW w:w="1701" w:type="dxa"/>
            <w:vAlign w:val="center"/>
          </w:tcPr>
          <w:p>
            <w:pPr>
              <w:spacing w:line="420" w:lineRule="atLeast"/>
              <w:jc w:val="center"/>
              <w:rPr>
                <w:rFonts w:ascii="宋体" w:hAnsi="宋体"/>
                <w:color w:val="000000"/>
                <w:szCs w:val="21"/>
              </w:rPr>
            </w:pPr>
            <w:r>
              <w:rPr>
                <w:rFonts w:hint="eastAsia" w:ascii="宋体" w:hAnsi="宋体"/>
                <w:color w:val="000000"/>
                <w:szCs w:val="21"/>
              </w:rPr>
              <w:t>2</w:t>
            </w:r>
            <w:r>
              <w:rPr>
                <w:rFonts w:ascii="宋体" w:hAnsi="宋体"/>
                <w:color w:val="000000"/>
                <w:szCs w:val="21"/>
              </w:rPr>
              <w:t>分</w:t>
            </w:r>
          </w:p>
        </w:tc>
        <w:tc>
          <w:tcPr>
            <w:tcW w:w="4950" w:type="dxa"/>
            <w:vAlign w:val="center"/>
          </w:tcPr>
          <w:p>
            <w:pPr>
              <w:spacing w:line="420" w:lineRule="atLeast"/>
              <w:rPr>
                <w:rFonts w:ascii="宋体" w:hAnsi="宋体"/>
                <w:color w:val="000000"/>
                <w:szCs w:val="21"/>
              </w:rPr>
            </w:pPr>
            <w:r>
              <w:rPr>
                <w:rFonts w:hint="eastAsia" w:ascii="宋体" w:hAnsi="宋体"/>
                <w:color w:val="000000"/>
                <w:szCs w:val="21"/>
              </w:rPr>
              <w:t>措施有效可行得2分；否则得1.2～2分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461" w:type="dxa"/>
            <w:vAlign w:val="center"/>
          </w:tcPr>
          <w:p>
            <w:pPr>
              <w:spacing w:line="420" w:lineRule="atLeast"/>
              <w:jc w:val="center"/>
              <w:rPr>
                <w:rFonts w:ascii="宋体" w:hAnsi="宋体"/>
                <w:szCs w:val="21"/>
              </w:rPr>
            </w:pPr>
            <w:r>
              <w:rPr>
                <w:rFonts w:ascii="宋体" w:hAnsi="宋体"/>
                <w:szCs w:val="21"/>
              </w:rPr>
              <w:t>（</w:t>
            </w:r>
            <w:r>
              <w:rPr>
                <w:rFonts w:hint="eastAsia" w:ascii="宋体" w:hAnsi="宋体"/>
                <w:szCs w:val="21"/>
              </w:rPr>
              <w:t>7</w:t>
            </w:r>
            <w:r>
              <w:rPr>
                <w:rFonts w:ascii="宋体" w:hAnsi="宋体"/>
                <w:szCs w:val="21"/>
              </w:rPr>
              <w:t>）</w:t>
            </w:r>
          </w:p>
        </w:tc>
        <w:tc>
          <w:tcPr>
            <w:tcW w:w="2333" w:type="dxa"/>
            <w:vAlign w:val="center"/>
          </w:tcPr>
          <w:p>
            <w:pPr>
              <w:spacing w:line="420" w:lineRule="atLeast"/>
              <w:jc w:val="left"/>
              <w:rPr>
                <w:rFonts w:ascii="宋体" w:hAnsi="宋体"/>
                <w:szCs w:val="21"/>
              </w:rPr>
            </w:pPr>
            <w:r>
              <w:rPr>
                <w:rFonts w:hint="eastAsia" w:ascii="宋体" w:hAnsi="宋体"/>
                <w:szCs w:val="21"/>
              </w:rPr>
              <w:t>后续服务的安排及保证措施</w:t>
            </w:r>
          </w:p>
        </w:tc>
        <w:tc>
          <w:tcPr>
            <w:tcW w:w="1276" w:type="dxa"/>
            <w:vAlign w:val="center"/>
          </w:tcPr>
          <w:p>
            <w:pPr>
              <w:spacing w:line="420" w:lineRule="atLeast"/>
              <w:jc w:val="center"/>
              <w:rPr>
                <w:rFonts w:ascii="宋体" w:hAnsi="宋体"/>
                <w:color w:val="000000"/>
                <w:szCs w:val="21"/>
              </w:rPr>
            </w:pPr>
            <w:r>
              <w:rPr>
                <w:rFonts w:hint="eastAsia" w:ascii="宋体" w:hAnsi="宋体"/>
                <w:color w:val="000000"/>
                <w:szCs w:val="21"/>
              </w:rPr>
              <w:t xml:space="preserve">5 </w:t>
            </w:r>
            <w:r>
              <w:rPr>
                <w:rFonts w:ascii="宋体" w:hAnsi="宋体"/>
                <w:color w:val="000000"/>
                <w:szCs w:val="21"/>
              </w:rPr>
              <w:t>分</w:t>
            </w:r>
          </w:p>
        </w:tc>
        <w:tc>
          <w:tcPr>
            <w:tcW w:w="2693" w:type="dxa"/>
            <w:vAlign w:val="center"/>
          </w:tcPr>
          <w:p>
            <w:pPr>
              <w:spacing w:line="420" w:lineRule="atLeast"/>
              <w:rPr>
                <w:rFonts w:hint="eastAsia" w:ascii="宋体" w:hAnsi="宋体"/>
                <w:color w:val="000000"/>
                <w:szCs w:val="21"/>
              </w:rPr>
            </w:pPr>
          </w:p>
        </w:tc>
        <w:tc>
          <w:tcPr>
            <w:tcW w:w="1701" w:type="dxa"/>
            <w:vAlign w:val="center"/>
          </w:tcPr>
          <w:p>
            <w:pPr>
              <w:spacing w:line="420" w:lineRule="atLeast"/>
              <w:jc w:val="center"/>
              <w:rPr>
                <w:rFonts w:ascii="宋体" w:hAnsi="宋体"/>
                <w:color w:val="000000"/>
                <w:szCs w:val="21"/>
              </w:rPr>
            </w:pPr>
          </w:p>
        </w:tc>
        <w:tc>
          <w:tcPr>
            <w:tcW w:w="4950" w:type="dxa"/>
            <w:vAlign w:val="center"/>
          </w:tcPr>
          <w:p>
            <w:pPr>
              <w:spacing w:line="420" w:lineRule="atLeast"/>
              <w:rPr>
                <w:rFonts w:ascii="宋体" w:hAnsi="宋体"/>
                <w:color w:val="000000"/>
                <w:szCs w:val="21"/>
              </w:rPr>
            </w:pPr>
            <w:r>
              <w:rPr>
                <w:rFonts w:hint="eastAsia" w:ascii="宋体" w:hAnsi="宋体"/>
                <w:color w:val="000000"/>
                <w:szCs w:val="21"/>
              </w:rPr>
              <w:t>投标人能够按招标文件的要求指定了合格的后续服务人员，明确了后续服务组组长及服务时间，并对后续服务工作人员的职责、权限和变更有明确规定的得5分，欠缺者得3～5分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461" w:type="dxa"/>
            <w:vAlign w:val="center"/>
          </w:tcPr>
          <w:p>
            <w:pPr>
              <w:spacing w:line="420" w:lineRule="atLeast"/>
              <w:jc w:val="center"/>
              <w:rPr>
                <w:rFonts w:ascii="宋体" w:hAnsi="宋体"/>
                <w:szCs w:val="21"/>
              </w:rPr>
            </w:pPr>
            <w:r>
              <w:rPr>
                <w:rFonts w:hint="eastAsia" w:ascii="宋体" w:hAnsi="宋体"/>
                <w:szCs w:val="21"/>
              </w:rPr>
              <w:t>（8）</w:t>
            </w:r>
          </w:p>
        </w:tc>
        <w:tc>
          <w:tcPr>
            <w:tcW w:w="2333" w:type="dxa"/>
            <w:vAlign w:val="center"/>
          </w:tcPr>
          <w:p>
            <w:pPr>
              <w:spacing w:line="420" w:lineRule="atLeast"/>
              <w:jc w:val="left"/>
              <w:rPr>
                <w:rFonts w:ascii="宋体" w:hAnsi="宋体"/>
                <w:szCs w:val="21"/>
              </w:rPr>
            </w:pPr>
            <w:r>
              <w:rPr>
                <w:rFonts w:hint="eastAsia" w:ascii="宋体" w:hAnsi="宋体"/>
                <w:szCs w:val="21"/>
              </w:rPr>
              <w:t>评标价得分</w:t>
            </w:r>
          </w:p>
        </w:tc>
        <w:tc>
          <w:tcPr>
            <w:tcW w:w="1276" w:type="dxa"/>
            <w:vAlign w:val="center"/>
          </w:tcPr>
          <w:p>
            <w:pPr>
              <w:spacing w:line="420" w:lineRule="atLeast"/>
              <w:jc w:val="center"/>
              <w:rPr>
                <w:rFonts w:ascii="宋体" w:hAnsi="宋体"/>
                <w:color w:val="000000"/>
                <w:szCs w:val="21"/>
              </w:rPr>
            </w:pPr>
            <w:r>
              <w:rPr>
                <w:rFonts w:hint="eastAsia" w:ascii="宋体" w:hAnsi="宋体"/>
                <w:color w:val="000000"/>
                <w:szCs w:val="21"/>
              </w:rPr>
              <w:t>30</w:t>
            </w:r>
            <w:r>
              <w:rPr>
                <w:rFonts w:ascii="宋体" w:hAnsi="宋体"/>
                <w:color w:val="000000"/>
                <w:szCs w:val="21"/>
              </w:rPr>
              <w:t>分</w:t>
            </w:r>
          </w:p>
        </w:tc>
        <w:tc>
          <w:tcPr>
            <w:tcW w:w="9344" w:type="dxa"/>
            <w:gridSpan w:val="3"/>
            <w:vAlign w:val="top"/>
          </w:tcPr>
          <w:p>
            <w:pPr>
              <w:spacing w:line="320" w:lineRule="atLeast"/>
              <w:rPr>
                <w:rFonts w:ascii="宋体" w:hAnsi="宋体"/>
                <w:color w:val="000000"/>
                <w:szCs w:val="21"/>
              </w:rPr>
            </w:pPr>
            <w:r>
              <w:rPr>
                <w:rFonts w:hint="eastAsia" w:ascii="宋体" w:hAnsi="宋体"/>
                <w:color w:val="000000"/>
                <w:szCs w:val="21"/>
              </w:rPr>
              <w:t>根据相关评标办法的规定，以该项目所有合法报价中的最低价为基准价，最低价得满分30分，每高于基准价1%扣4分，最低得分为0分。</w:t>
            </w:r>
          </w:p>
        </w:tc>
      </w:tr>
    </w:tbl>
    <w:p>
      <w:pPr>
        <w:spacing w:line="400" w:lineRule="atLeast"/>
        <w:rPr>
          <w:sz w:val="24"/>
        </w:rPr>
      </w:pPr>
    </w:p>
    <w:p>
      <w:pPr>
        <w:spacing w:line="400" w:lineRule="atLeast"/>
        <w:ind w:firstLine="480" w:firstLineChars="200"/>
        <w:rPr>
          <w:rFonts w:hint="eastAsia" w:eastAsia="隶书"/>
          <w:sz w:val="24"/>
        </w:rPr>
        <w:sectPr>
          <w:headerReference r:id="rId4" w:type="even"/>
          <w:footnotePr>
            <w:numFmt w:val="decimalEnclosedCircleChinese"/>
            <w:numRestart w:val="eachPage"/>
          </w:footnotePr>
          <w:pgSz w:w="16838" w:h="11906" w:orient="landscape"/>
          <w:pgMar w:top="1701" w:right="1588" w:bottom="1644" w:left="1474" w:header="851" w:footer="851" w:gutter="0"/>
          <w:cols w:space="425" w:num="1"/>
          <w:docGrid w:linePitch="312" w:charSpace="0"/>
        </w:sectPr>
      </w:pPr>
    </w:p>
    <w:p>
      <w:pPr>
        <w:spacing w:line="480" w:lineRule="exact"/>
        <w:rPr>
          <w:rFonts w:hint="eastAsia" w:eastAsia="黑体"/>
          <w:sz w:val="24"/>
        </w:rPr>
      </w:pPr>
      <w:r>
        <w:rPr>
          <w:rFonts w:hint="eastAsia" w:eastAsia="黑体"/>
          <w:sz w:val="28"/>
          <w:szCs w:val="28"/>
        </w:rPr>
        <w:t>1</w:t>
      </w:r>
      <w:r>
        <w:rPr>
          <w:rFonts w:eastAsia="黑体"/>
          <w:sz w:val="28"/>
          <w:szCs w:val="28"/>
        </w:rPr>
        <w:t xml:space="preserve">. </w:t>
      </w:r>
      <w:r>
        <w:rPr>
          <w:rFonts w:hint="eastAsia" w:eastAsia="黑体"/>
          <w:sz w:val="28"/>
          <w:szCs w:val="28"/>
        </w:rPr>
        <w:t>总则</w:t>
      </w:r>
    </w:p>
    <w:p>
      <w:pPr>
        <w:spacing w:line="420" w:lineRule="atLeast"/>
        <w:ind w:firstLine="538"/>
        <w:rPr>
          <w:rFonts w:eastAsia="黑体"/>
          <w:sz w:val="24"/>
        </w:rPr>
      </w:pPr>
      <w:r>
        <w:rPr>
          <w:rFonts w:hint="eastAsia" w:eastAsia="黑体"/>
          <w:sz w:val="24"/>
        </w:rPr>
        <w:t xml:space="preserve">1.1 </w:t>
      </w:r>
      <w:r>
        <w:rPr>
          <w:rFonts w:ascii="宋体" w:hAnsi="宋体"/>
          <w:sz w:val="24"/>
        </w:rPr>
        <w:t>依据《中华人民共和国招标投标法》、《中华人民共和国公路法》等有关规定，结合本项目招标文件要求，制定本</w:t>
      </w:r>
      <w:r>
        <w:rPr>
          <w:sz w:val="24"/>
        </w:rPr>
        <w:t>评标办法。</w:t>
      </w:r>
    </w:p>
    <w:p>
      <w:pPr>
        <w:spacing w:line="420" w:lineRule="atLeast"/>
        <w:ind w:firstLine="538"/>
        <w:rPr>
          <w:sz w:val="24"/>
        </w:rPr>
      </w:pPr>
      <w:r>
        <w:rPr>
          <w:rFonts w:hint="eastAsia" w:eastAsia="黑体"/>
          <w:sz w:val="24"/>
        </w:rPr>
        <w:t>1.2</w:t>
      </w:r>
      <w:r>
        <w:rPr>
          <w:sz w:val="24"/>
        </w:rPr>
        <w:t xml:space="preserve"> 评标工作遵循公平、公正、科学、择优的原则。任何单位和个人不得非法干预或者影响评标过程和结果。</w:t>
      </w:r>
    </w:p>
    <w:p>
      <w:pPr>
        <w:spacing w:line="420" w:lineRule="atLeast"/>
        <w:ind w:firstLine="538"/>
        <w:rPr>
          <w:sz w:val="24"/>
        </w:rPr>
      </w:pPr>
      <w:r>
        <w:rPr>
          <w:rFonts w:hint="eastAsia" w:eastAsia="黑体"/>
          <w:sz w:val="24"/>
        </w:rPr>
        <w:t>1.3</w:t>
      </w:r>
      <w:r>
        <w:rPr>
          <w:sz w:val="24"/>
        </w:rPr>
        <w:t xml:space="preserve"> 本次评标采用综合评估法</w:t>
      </w:r>
      <w:r>
        <w:rPr>
          <w:rFonts w:hint="eastAsia"/>
          <w:sz w:val="24"/>
        </w:rPr>
        <w:t>I</w:t>
      </w:r>
      <w:r>
        <w:rPr>
          <w:sz w:val="24"/>
        </w:rPr>
        <w:t>，对所有投标人的投标文件进行综合评审和比较，提出中标、废标或重新招标等评标意见，编写评标报告。</w:t>
      </w:r>
    </w:p>
    <w:p>
      <w:pPr>
        <w:spacing w:line="420" w:lineRule="atLeast"/>
        <w:ind w:firstLine="538"/>
        <w:rPr>
          <w:rFonts w:hint="eastAsia"/>
          <w:sz w:val="24"/>
        </w:rPr>
      </w:pPr>
      <w:r>
        <w:rPr>
          <w:rFonts w:hint="eastAsia" w:eastAsia="黑体"/>
          <w:sz w:val="24"/>
        </w:rPr>
        <w:t xml:space="preserve">1.4 </w:t>
      </w:r>
      <w:r>
        <w:rPr>
          <w:sz w:val="24"/>
        </w:rPr>
        <w:t>评标工作由招标人依法组建的评标委员会负责。评标委员会成员</w:t>
      </w:r>
      <w:r>
        <w:rPr>
          <w:rFonts w:hint="eastAsia"/>
          <w:sz w:val="24"/>
        </w:rPr>
        <w:t>由根据第二章</w:t>
      </w:r>
      <w:r>
        <w:rPr>
          <w:sz w:val="24"/>
        </w:rPr>
        <w:t>“</w:t>
      </w:r>
      <w:r>
        <w:rPr>
          <w:rFonts w:hint="eastAsia"/>
          <w:sz w:val="24"/>
        </w:rPr>
        <w:t>投标</w:t>
      </w:r>
      <w:r>
        <w:rPr>
          <w:sz w:val="24"/>
        </w:rPr>
        <w:t>人须知”</w:t>
      </w:r>
      <w:r>
        <w:rPr>
          <w:rFonts w:hint="eastAsia"/>
          <w:sz w:val="24"/>
        </w:rPr>
        <w:t>第6.1.1项确定的评标</w:t>
      </w:r>
      <w:r>
        <w:rPr>
          <w:sz w:val="24"/>
        </w:rPr>
        <w:t>专家库中抽选的专家和招标人代表组成。</w:t>
      </w:r>
    </w:p>
    <w:p>
      <w:pPr>
        <w:spacing w:line="420" w:lineRule="atLeast"/>
        <w:ind w:firstLine="538"/>
        <w:rPr>
          <w:rFonts w:hint="eastAsia"/>
          <w:sz w:val="24"/>
        </w:rPr>
      </w:pPr>
    </w:p>
    <w:p>
      <w:pPr>
        <w:spacing w:line="480" w:lineRule="exact"/>
        <w:rPr>
          <w:rFonts w:hint="eastAsia" w:eastAsia="黑体"/>
          <w:sz w:val="24"/>
        </w:rPr>
      </w:pPr>
      <w:r>
        <w:rPr>
          <w:rFonts w:hint="eastAsia" w:eastAsia="黑体"/>
          <w:sz w:val="28"/>
          <w:szCs w:val="28"/>
        </w:rPr>
        <w:t>2</w:t>
      </w:r>
      <w:r>
        <w:rPr>
          <w:rFonts w:eastAsia="黑体"/>
          <w:sz w:val="28"/>
          <w:szCs w:val="28"/>
        </w:rPr>
        <w:t xml:space="preserve">. </w:t>
      </w:r>
      <w:r>
        <w:rPr>
          <w:rFonts w:hint="eastAsia" w:eastAsia="黑体"/>
          <w:sz w:val="28"/>
          <w:szCs w:val="28"/>
        </w:rPr>
        <w:t>评标程序和评审标准</w:t>
      </w:r>
    </w:p>
    <w:p>
      <w:pPr>
        <w:spacing w:line="420" w:lineRule="atLeast"/>
        <w:ind w:firstLine="538"/>
        <w:rPr>
          <w:sz w:val="24"/>
        </w:rPr>
      </w:pPr>
      <w:r>
        <w:rPr>
          <w:rFonts w:hint="eastAsia" w:eastAsia="黑体"/>
          <w:sz w:val="24"/>
        </w:rPr>
        <w:t>2.1</w:t>
      </w:r>
      <w:r>
        <w:rPr>
          <w:sz w:val="24"/>
        </w:rPr>
        <w:t xml:space="preserve"> 评标工作按以下程序进行：</w:t>
      </w:r>
    </w:p>
    <w:p>
      <w:pPr>
        <w:spacing w:line="420" w:lineRule="atLeast"/>
        <w:ind w:firstLine="560"/>
        <w:rPr>
          <w:sz w:val="24"/>
        </w:rPr>
      </w:pPr>
      <w:r>
        <w:rPr>
          <w:sz w:val="24"/>
        </w:rPr>
        <w:t>（1）投标文件第一信封</w:t>
      </w:r>
    </w:p>
    <w:p>
      <w:pPr>
        <w:spacing w:line="420" w:lineRule="atLeast"/>
        <w:ind w:firstLine="1290"/>
        <w:rPr>
          <w:sz w:val="24"/>
        </w:rPr>
      </w:pPr>
      <w:r>
        <w:rPr>
          <w:sz w:val="24"/>
        </w:rPr>
        <w:t>1、资格审查</w:t>
      </w:r>
      <w:r>
        <w:rPr>
          <w:rFonts w:hint="eastAsia"/>
          <w:sz w:val="24"/>
        </w:rPr>
        <w:t>；</w:t>
      </w:r>
    </w:p>
    <w:p>
      <w:pPr>
        <w:spacing w:line="420" w:lineRule="atLeast"/>
        <w:ind w:firstLine="1290"/>
        <w:rPr>
          <w:sz w:val="24"/>
        </w:rPr>
      </w:pPr>
      <w:r>
        <w:rPr>
          <w:sz w:val="24"/>
        </w:rPr>
        <w:t>2、初步评审；</w:t>
      </w:r>
    </w:p>
    <w:p>
      <w:pPr>
        <w:spacing w:line="420" w:lineRule="atLeast"/>
        <w:ind w:firstLine="1290"/>
        <w:rPr>
          <w:sz w:val="24"/>
        </w:rPr>
      </w:pPr>
      <w:r>
        <w:rPr>
          <w:sz w:val="24"/>
        </w:rPr>
        <w:t>3、澄清（如果需要）；</w:t>
      </w:r>
    </w:p>
    <w:p>
      <w:pPr>
        <w:spacing w:line="420" w:lineRule="atLeast"/>
        <w:ind w:firstLine="1290"/>
        <w:rPr>
          <w:sz w:val="24"/>
        </w:rPr>
      </w:pPr>
      <w:r>
        <w:rPr>
          <w:sz w:val="24"/>
        </w:rPr>
        <w:t>4、详细评审。</w:t>
      </w:r>
    </w:p>
    <w:p>
      <w:pPr>
        <w:spacing w:line="420" w:lineRule="atLeast"/>
        <w:ind w:firstLine="560"/>
        <w:rPr>
          <w:sz w:val="24"/>
        </w:rPr>
      </w:pPr>
      <w:r>
        <w:rPr>
          <w:sz w:val="24"/>
        </w:rPr>
        <w:t>（2）投标文件第二信封</w:t>
      </w:r>
    </w:p>
    <w:p>
      <w:pPr>
        <w:spacing w:line="420" w:lineRule="atLeast"/>
        <w:ind w:firstLine="1290"/>
        <w:rPr>
          <w:sz w:val="24"/>
        </w:rPr>
      </w:pPr>
      <w:r>
        <w:rPr>
          <w:sz w:val="24"/>
        </w:rPr>
        <w:t>1、初步评审；</w:t>
      </w:r>
    </w:p>
    <w:p>
      <w:pPr>
        <w:spacing w:line="420" w:lineRule="atLeast"/>
        <w:ind w:firstLine="1290"/>
        <w:rPr>
          <w:rFonts w:hint="eastAsia"/>
          <w:sz w:val="24"/>
        </w:rPr>
      </w:pPr>
      <w:r>
        <w:rPr>
          <w:rFonts w:hint="eastAsia"/>
          <w:sz w:val="24"/>
        </w:rPr>
        <w:t>2</w:t>
      </w:r>
      <w:r>
        <w:rPr>
          <w:sz w:val="24"/>
        </w:rPr>
        <w:t>、</w:t>
      </w:r>
      <w:r>
        <w:rPr>
          <w:rFonts w:hint="eastAsia"/>
          <w:sz w:val="24"/>
        </w:rPr>
        <w:t>算术性修正；</w:t>
      </w:r>
    </w:p>
    <w:p>
      <w:pPr>
        <w:spacing w:line="420" w:lineRule="atLeast"/>
        <w:ind w:firstLine="1290"/>
        <w:rPr>
          <w:sz w:val="24"/>
        </w:rPr>
      </w:pPr>
      <w:r>
        <w:rPr>
          <w:rFonts w:hint="eastAsia"/>
          <w:sz w:val="24"/>
        </w:rPr>
        <w:t>3</w:t>
      </w:r>
      <w:r>
        <w:rPr>
          <w:sz w:val="24"/>
        </w:rPr>
        <w:t>、澄清（如果需要）；</w:t>
      </w:r>
    </w:p>
    <w:p>
      <w:pPr>
        <w:spacing w:line="420" w:lineRule="atLeast"/>
        <w:ind w:firstLine="1290"/>
        <w:rPr>
          <w:sz w:val="24"/>
        </w:rPr>
      </w:pPr>
      <w:r>
        <w:rPr>
          <w:rFonts w:hint="eastAsia"/>
          <w:sz w:val="24"/>
        </w:rPr>
        <w:t>4、</w:t>
      </w:r>
      <w:r>
        <w:rPr>
          <w:sz w:val="24"/>
        </w:rPr>
        <w:t>详细评审。</w:t>
      </w:r>
    </w:p>
    <w:p>
      <w:pPr>
        <w:spacing w:line="420" w:lineRule="atLeast"/>
        <w:ind w:firstLine="560"/>
        <w:rPr>
          <w:sz w:val="24"/>
        </w:rPr>
      </w:pPr>
      <w:r>
        <w:rPr>
          <w:sz w:val="24"/>
        </w:rPr>
        <w:t>（3）综合评价，提出评标意见；</w:t>
      </w:r>
    </w:p>
    <w:p>
      <w:pPr>
        <w:spacing w:line="420" w:lineRule="atLeast"/>
        <w:ind w:firstLine="560"/>
        <w:rPr>
          <w:sz w:val="24"/>
        </w:rPr>
      </w:pPr>
      <w:r>
        <w:rPr>
          <w:sz w:val="24"/>
        </w:rPr>
        <w:t>（4）编写评标报告。</w:t>
      </w:r>
    </w:p>
    <w:p>
      <w:pPr>
        <w:spacing w:line="420" w:lineRule="atLeast"/>
        <w:ind w:firstLine="538"/>
        <w:rPr>
          <w:sz w:val="24"/>
        </w:rPr>
      </w:pPr>
      <w:r>
        <w:rPr>
          <w:rFonts w:hint="eastAsia" w:eastAsia="黑体"/>
          <w:sz w:val="24"/>
        </w:rPr>
        <w:t>2.2</w:t>
      </w:r>
      <w:r>
        <w:rPr>
          <w:sz w:val="24"/>
        </w:rPr>
        <w:t xml:space="preserve"> </w:t>
      </w:r>
      <w:r>
        <w:rPr>
          <w:rFonts w:hint="eastAsia" w:eastAsia="黑体"/>
          <w:sz w:val="24"/>
        </w:rPr>
        <w:t>第一信封</w:t>
      </w:r>
      <w:r>
        <w:rPr>
          <w:rFonts w:eastAsia="黑体"/>
          <w:sz w:val="24"/>
        </w:rPr>
        <w:t>资格审查：</w:t>
      </w:r>
      <w:r>
        <w:rPr>
          <w:sz w:val="24"/>
        </w:rPr>
        <w:t>评标委员会首先对投标人提交的资格审查</w:t>
      </w:r>
      <w:r>
        <w:rPr>
          <w:rFonts w:hint="eastAsia"/>
          <w:sz w:val="24"/>
        </w:rPr>
        <w:t>表</w:t>
      </w:r>
      <w:r>
        <w:rPr>
          <w:sz w:val="24"/>
        </w:rPr>
        <w:t>进行评审，只有通过资格审查各项强制性资格标准（包括资质、</w:t>
      </w:r>
      <w:r>
        <w:rPr>
          <w:rFonts w:hint="eastAsia"/>
          <w:sz w:val="24"/>
        </w:rPr>
        <w:t>业绩</w:t>
      </w:r>
      <w:r>
        <w:rPr>
          <w:sz w:val="24"/>
        </w:rPr>
        <w:t>、人员、信誉等条件）的投标文件，才能进入下一步评标程序。通过资格审查的标准包括：</w:t>
      </w:r>
    </w:p>
    <w:p>
      <w:pPr>
        <w:spacing w:line="420" w:lineRule="atLeast"/>
        <w:ind w:firstLine="538"/>
        <w:rPr>
          <w:rFonts w:hint="eastAsia" w:ascii="黑体" w:eastAsia="黑体"/>
          <w:sz w:val="24"/>
        </w:rPr>
      </w:pPr>
      <w:r>
        <w:rPr>
          <w:rFonts w:hint="eastAsia" w:ascii="黑体" w:eastAsia="黑体"/>
          <w:sz w:val="24"/>
        </w:rPr>
        <w:t>(1)投标人具备有效的营业执照、工程咨询</w:t>
      </w:r>
      <w:r>
        <w:rPr>
          <w:rFonts w:ascii="黑体" w:eastAsia="黑体"/>
          <w:sz w:val="24"/>
        </w:rPr>
        <w:t>资质证书</w:t>
      </w:r>
      <w:r>
        <w:rPr>
          <w:rFonts w:hint="eastAsia" w:ascii="黑体" w:eastAsia="黑体"/>
          <w:sz w:val="24"/>
        </w:rPr>
        <w:t>、勘察资质证书、设计资质证书和基本账户开户许可证；</w:t>
      </w:r>
    </w:p>
    <w:p>
      <w:pPr>
        <w:spacing w:line="420" w:lineRule="atLeast"/>
        <w:ind w:firstLine="538"/>
        <w:rPr>
          <w:rFonts w:hint="eastAsia" w:ascii="黑体" w:eastAsia="黑体"/>
          <w:sz w:val="24"/>
        </w:rPr>
      </w:pPr>
      <w:r>
        <w:rPr>
          <w:rFonts w:hint="eastAsia" w:ascii="黑体" w:eastAsia="黑体"/>
          <w:sz w:val="24"/>
        </w:rPr>
        <w:t>(2)投标人的资质等级符合第二章</w:t>
      </w:r>
      <w:r>
        <w:rPr>
          <w:rFonts w:ascii="黑体" w:eastAsia="黑体"/>
          <w:sz w:val="24"/>
        </w:rPr>
        <w:t>“</w:t>
      </w:r>
      <w:r>
        <w:rPr>
          <w:rFonts w:hint="eastAsia" w:ascii="黑体" w:eastAsia="黑体"/>
          <w:sz w:val="24"/>
        </w:rPr>
        <w:t>投标</w:t>
      </w:r>
      <w:r>
        <w:rPr>
          <w:rFonts w:ascii="黑体" w:eastAsia="黑体"/>
          <w:sz w:val="24"/>
        </w:rPr>
        <w:t>人须知”</w:t>
      </w:r>
      <w:r>
        <w:rPr>
          <w:rFonts w:hint="eastAsia" w:ascii="黑体" w:eastAsia="黑体"/>
          <w:sz w:val="24"/>
        </w:rPr>
        <w:t>前附表附录1的规定；</w:t>
      </w:r>
    </w:p>
    <w:p>
      <w:pPr>
        <w:spacing w:line="420" w:lineRule="atLeast"/>
        <w:ind w:firstLine="538"/>
        <w:rPr>
          <w:rFonts w:hint="eastAsia" w:ascii="黑体" w:eastAsia="黑体"/>
          <w:sz w:val="24"/>
        </w:rPr>
      </w:pPr>
      <w:r>
        <w:rPr>
          <w:rFonts w:hint="eastAsia" w:ascii="黑体" w:eastAsia="黑体"/>
          <w:sz w:val="24"/>
        </w:rPr>
        <w:t>(3)投标人的类似项目业绩符合第二章</w:t>
      </w:r>
      <w:r>
        <w:rPr>
          <w:rFonts w:ascii="黑体" w:eastAsia="黑体"/>
          <w:sz w:val="24"/>
        </w:rPr>
        <w:t>“</w:t>
      </w:r>
      <w:r>
        <w:rPr>
          <w:rFonts w:hint="eastAsia" w:ascii="黑体" w:eastAsia="黑体"/>
          <w:sz w:val="24"/>
        </w:rPr>
        <w:t>投标</w:t>
      </w:r>
      <w:r>
        <w:rPr>
          <w:rFonts w:ascii="黑体" w:eastAsia="黑体"/>
          <w:sz w:val="24"/>
        </w:rPr>
        <w:t>人须知”</w:t>
      </w:r>
      <w:r>
        <w:rPr>
          <w:rFonts w:hint="eastAsia" w:ascii="黑体" w:eastAsia="黑体"/>
          <w:sz w:val="24"/>
        </w:rPr>
        <w:t>前附表附录2的规定；</w:t>
      </w:r>
    </w:p>
    <w:p>
      <w:pPr>
        <w:spacing w:line="420" w:lineRule="atLeast"/>
        <w:ind w:firstLine="538"/>
        <w:rPr>
          <w:rFonts w:hint="eastAsia" w:ascii="黑体" w:eastAsia="黑体"/>
          <w:sz w:val="24"/>
        </w:rPr>
      </w:pPr>
      <w:r>
        <w:rPr>
          <w:rFonts w:hint="eastAsia" w:ascii="黑体" w:eastAsia="黑体"/>
          <w:sz w:val="24"/>
        </w:rPr>
        <w:t>(4)投标人的主要人员资格符合第二章</w:t>
      </w:r>
      <w:r>
        <w:rPr>
          <w:rFonts w:ascii="黑体" w:eastAsia="黑体"/>
          <w:sz w:val="24"/>
        </w:rPr>
        <w:t>“</w:t>
      </w:r>
      <w:r>
        <w:rPr>
          <w:rFonts w:hint="eastAsia" w:ascii="黑体" w:eastAsia="黑体"/>
          <w:sz w:val="24"/>
        </w:rPr>
        <w:t>投标</w:t>
      </w:r>
      <w:r>
        <w:rPr>
          <w:rFonts w:ascii="黑体" w:eastAsia="黑体"/>
          <w:sz w:val="24"/>
        </w:rPr>
        <w:t>人须知”</w:t>
      </w:r>
      <w:r>
        <w:rPr>
          <w:rFonts w:hint="eastAsia" w:ascii="黑体" w:eastAsia="黑体"/>
          <w:sz w:val="24"/>
        </w:rPr>
        <w:t>前附表附录3的规定；</w:t>
      </w:r>
    </w:p>
    <w:p>
      <w:pPr>
        <w:spacing w:line="420" w:lineRule="atLeast"/>
        <w:ind w:firstLine="538"/>
        <w:rPr>
          <w:rFonts w:hint="eastAsia" w:ascii="黑体" w:eastAsia="黑体"/>
          <w:sz w:val="24"/>
        </w:rPr>
      </w:pPr>
      <w:r>
        <w:rPr>
          <w:rFonts w:hint="eastAsia" w:ascii="黑体" w:eastAsia="黑体"/>
          <w:sz w:val="24"/>
        </w:rPr>
        <w:t>(5)投标人的信誉符合第二章</w:t>
      </w:r>
      <w:r>
        <w:rPr>
          <w:rFonts w:ascii="黑体" w:eastAsia="黑体"/>
          <w:sz w:val="24"/>
        </w:rPr>
        <w:t>“</w:t>
      </w:r>
      <w:r>
        <w:rPr>
          <w:rFonts w:hint="eastAsia" w:ascii="黑体" w:eastAsia="黑体"/>
          <w:sz w:val="24"/>
        </w:rPr>
        <w:t>投标</w:t>
      </w:r>
      <w:r>
        <w:rPr>
          <w:rFonts w:ascii="黑体" w:eastAsia="黑体"/>
          <w:sz w:val="24"/>
        </w:rPr>
        <w:t>人须知”</w:t>
      </w:r>
      <w:r>
        <w:rPr>
          <w:rFonts w:hint="eastAsia" w:ascii="黑体" w:eastAsia="黑体"/>
          <w:sz w:val="24"/>
        </w:rPr>
        <w:t>前附表附录4的规定；</w:t>
      </w:r>
    </w:p>
    <w:p>
      <w:pPr>
        <w:spacing w:line="420" w:lineRule="atLeast"/>
        <w:ind w:firstLine="538"/>
        <w:rPr>
          <w:rFonts w:hint="eastAsia" w:ascii="黑体" w:eastAsia="黑体"/>
          <w:sz w:val="24"/>
        </w:rPr>
      </w:pPr>
      <w:r>
        <w:rPr>
          <w:rFonts w:hint="eastAsia" w:ascii="黑体" w:eastAsia="黑体"/>
          <w:sz w:val="24"/>
        </w:rPr>
        <w:t>(6)投标人不存在第二章“投标人须知”第1.4.3项规定的情形。</w:t>
      </w:r>
    </w:p>
    <w:p>
      <w:pPr>
        <w:spacing w:line="420" w:lineRule="atLeast"/>
        <w:ind w:firstLine="538"/>
        <w:rPr>
          <w:sz w:val="24"/>
        </w:rPr>
      </w:pPr>
      <w:r>
        <w:rPr>
          <w:rFonts w:hint="eastAsia"/>
          <w:sz w:val="24"/>
        </w:rPr>
        <w:t>评标</w:t>
      </w:r>
      <w:r>
        <w:rPr>
          <w:sz w:val="24"/>
        </w:rPr>
        <w:t>委员会可以要求</w:t>
      </w:r>
      <w:r>
        <w:rPr>
          <w:rFonts w:hint="eastAsia"/>
          <w:sz w:val="24"/>
        </w:rPr>
        <w:t>投标</w:t>
      </w:r>
      <w:r>
        <w:rPr>
          <w:sz w:val="24"/>
        </w:rPr>
        <w:t>人提交第二章“</w:t>
      </w:r>
      <w:r>
        <w:rPr>
          <w:rFonts w:hint="eastAsia"/>
          <w:sz w:val="24"/>
        </w:rPr>
        <w:t>投标</w:t>
      </w:r>
      <w:r>
        <w:rPr>
          <w:sz w:val="24"/>
        </w:rPr>
        <w:t>人须知”第3.</w:t>
      </w:r>
      <w:r>
        <w:rPr>
          <w:rFonts w:hint="eastAsia"/>
          <w:sz w:val="24"/>
        </w:rPr>
        <w:t>5</w:t>
      </w:r>
      <w:r>
        <w:rPr>
          <w:sz w:val="24"/>
        </w:rPr>
        <w:t>.</w:t>
      </w:r>
      <w:r>
        <w:rPr>
          <w:rFonts w:hint="eastAsia"/>
          <w:sz w:val="24"/>
        </w:rPr>
        <w:t>1</w:t>
      </w:r>
      <w:r>
        <w:rPr>
          <w:sz w:val="24"/>
        </w:rPr>
        <w:t>项规定的有关证明和证件的原件，以便核验。</w:t>
      </w:r>
    </w:p>
    <w:p>
      <w:pPr>
        <w:spacing w:line="420" w:lineRule="atLeast"/>
        <w:ind w:firstLine="538"/>
        <w:rPr>
          <w:sz w:val="24"/>
        </w:rPr>
      </w:pPr>
      <w:r>
        <w:rPr>
          <w:rFonts w:hint="eastAsia" w:eastAsia="黑体"/>
          <w:sz w:val="24"/>
        </w:rPr>
        <w:t>2.3</w:t>
      </w:r>
      <w:r>
        <w:rPr>
          <w:rFonts w:eastAsia="黑体"/>
          <w:sz w:val="24"/>
        </w:rPr>
        <w:t xml:space="preserve"> </w:t>
      </w:r>
      <w:r>
        <w:rPr>
          <w:rFonts w:hint="eastAsia" w:eastAsia="黑体"/>
          <w:sz w:val="24"/>
        </w:rPr>
        <w:t>第一信封</w:t>
      </w:r>
      <w:r>
        <w:rPr>
          <w:rFonts w:eastAsia="黑体"/>
          <w:sz w:val="24"/>
        </w:rPr>
        <w:t>初步评审：</w:t>
      </w:r>
      <w:r>
        <w:rPr>
          <w:sz w:val="24"/>
        </w:rPr>
        <w:t>评标委员会对通过资格审查的投标文件第一信封（商务及技术文件）进行初步评审，有一项不符合评审标准的，作废标处理。</w:t>
      </w:r>
    </w:p>
    <w:p>
      <w:pPr>
        <w:spacing w:line="420" w:lineRule="atLeast"/>
        <w:ind w:firstLine="538"/>
        <w:rPr>
          <w:sz w:val="24"/>
        </w:rPr>
      </w:pPr>
      <w:r>
        <w:rPr>
          <w:sz w:val="24"/>
        </w:rPr>
        <w:t>投标文件第一信封（商务文件和技术文件）</w:t>
      </w:r>
      <w:r>
        <w:rPr>
          <w:rFonts w:hint="eastAsia"/>
          <w:sz w:val="24"/>
        </w:rPr>
        <w:t>通过</w:t>
      </w:r>
      <w:r>
        <w:rPr>
          <w:sz w:val="24"/>
        </w:rPr>
        <w:t>初步评审的标准为：</w:t>
      </w:r>
    </w:p>
    <w:p>
      <w:pPr>
        <w:spacing w:line="420" w:lineRule="atLeast"/>
        <w:ind w:firstLine="538"/>
        <w:rPr>
          <w:rFonts w:hint="eastAsia" w:ascii="黑体" w:eastAsia="黑体"/>
          <w:sz w:val="24"/>
        </w:rPr>
      </w:pPr>
      <w:r>
        <w:rPr>
          <w:rFonts w:hint="eastAsia" w:ascii="黑体" w:eastAsia="黑体"/>
          <w:sz w:val="24"/>
        </w:rPr>
        <w:t>(1)投标文件按照招标文件规定的格式、内容填写，字迹清晰可辨：</w:t>
      </w:r>
    </w:p>
    <w:p>
      <w:pPr>
        <w:spacing w:line="420" w:lineRule="atLeast"/>
        <w:ind w:firstLine="538"/>
        <w:rPr>
          <w:rFonts w:hint="eastAsia" w:ascii="黑体" w:eastAsia="黑体"/>
          <w:sz w:val="24"/>
        </w:rPr>
      </w:pPr>
      <w:r>
        <w:rPr>
          <w:rFonts w:hint="eastAsia" w:ascii="黑体" w:eastAsia="黑体"/>
          <w:sz w:val="24"/>
        </w:rPr>
        <w:t>(2)投标文件上法定代表人或其授权代理人的签字、投标人的单位章齐全，符合招标文件规定：</w:t>
      </w:r>
    </w:p>
    <w:p>
      <w:pPr>
        <w:spacing w:line="420" w:lineRule="atLeast"/>
        <w:ind w:firstLine="538"/>
        <w:rPr>
          <w:rFonts w:hint="eastAsia" w:ascii="黑体" w:eastAsia="黑体"/>
          <w:sz w:val="24"/>
        </w:rPr>
      </w:pPr>
      <w:r>
        <w:rPr>
          <w:rFonts w:hint="eastAsia" w:ascii="黑体" w:eastAsia="黑体"/>
          <w:sz w:val="24"/>
        </w:rPr>
        <w:t>投标函的内容应由投标人的法定代表人或其委托代理人逐页签署姓名（本页正文内容已由投标人的法定代表人或其委托代理人签署姓名的可不签署）。</w:t>
      </w:r>
    </w:p>
    <w:p>
      <w:pPr>
        <w:spacing w:line="420" w:lineRule="atLeast"/>
        <w:ind w:firstLine="538"/>
        <w:rPr>
          <w:rFonts w:hint="eastAsia" w:ascii="黑体" w:eastAsia="黑体"/>
          <w:sz w:val="24"/>
        </w:rPr>
      </w:pPr>
      <w:r>
        <w:rPr>
          <w:rFonts w:hint="eastAsia" w:ascii="黑体" w:eastAsia="黑体"/>
          <w:sz w:val="24"/>
        </w:rPr>
        <w:t>(3)投标人按照招标文件规定的金额、形式、时效和内容等要求提供了投标担保：</w:t>
      </w:r>
    </w:p>
    <w:p>
      <w:pPr>
        <w:spacing w:line="420" w:lineRule="atLeast"/>
        <w:ind w:firstLine="538"/>
        <w:rPr>
          <w:rFonts w:hint="eastAsia" w:ascii="黑体" w:eastAsia="黑体"/>
          <w:sz w:val="24"/>
        </w:rPr>
      </w:pPr>
      <w:r>
        <w:rPr>
          <w:rFonts w:hint="eastAsia" w:ascii="黑体" w:eastAsia="黑体"/>
          <w:sz w:val="24"/>
        </w:rPr>
        <w:t>a.投标担保金额符合招标文件规定的金额；</w:t>
      </w:r>
    </w:p>
    <w:p>
      <w:pPr>
        <w:spacing w:line="420" w:lineRule="atLeast"/>
        <w:ind w:firstLine="538"/>
        <w:rPr>
          <w:rFonts w:hint="eastAsia" w:ascii="黑体" w:eastAsia="黑体"/>
          <w:sz w:val="24"/>
        </w:rPr>
      </w:pPr>
      <w:r>
        <w:rPr>
          <w:rFonts w:hint="eastAsia" w:ascii="黑体" w:eastAsia="黑体"/>
          <w:sz w:val="24"/>
        </w:rPr>
        <w:t>b.若采用电汇，投标人在第二章</w:t>
      </w:r>
      <w:r>
        <w:rPr>
          <w:rFonts w:ascii="黑体" w:eastAsia="黑体"/>
          <w:sz w:val="24"/>
        </w:rPr>
        <w:t>“</w:t>
      </w:r>
      <w:r>
        <w:rPr>
          <w:rFonts w:hint="eastAsia" w:ascii="黑体" w:eastAsia="黑体"/>
          <w:sz w:val="24"/>
        </w:rPr>
        <w:t>投标</w:t>
      </w:r>
      <w:r>
        <w:rPr>
          <w:rFonts w:ascii="黑体" w:eastAsia="黑体"/>
          <w:sz w:val="24"/>
        </w:rPr>
        <w:t>人须知”</w:t>
      </w:r>
      <w:r>
        <w:rPr>
          <w:rFonts w:hint="eastAsia" w:ascii="黑体" w:eastAsia="黑体"/>
          <w:sz w:val="24"/>
        </w:rPr>
        <w:t>前附表规定的时间之前，将投标保证金由投标人的基本账户一次性汇入招标人指定账户；</w:t>
      </w:r>
    </w:p>
    <w:p>
      <w:pPr>
        <w:spacing w:line="420" w:lineRule="atLeast"/>
        <w:ind w:firstLine="538"/>
        <w:rPr>
          <w:rFonts w:hint="eastAsia" w:ascii="黑体" w:eastAsia="黑体"/>
          <w:sz w:val="24"/>
        </w:rPr>
      </w:pPr>
      <w:r>
        <w:rPr>
          <w:rFonts w:hint="eastAsia" w:ascii="黑体" w:eastAsia="黑体"/>
          <w:sz w:val="24"/>
        </w:rPr>
        <w:t>c.若采用银行汇票，则应由投标人开立基本账户的银行出具。银行汇票应单独密封随投标文件一起递交，银行汇票的复印件装订在投标文件之中；</w:t>
      </w:r>
    </w:p>
    <w:p>
      <w:pPr>
        <w:spacing w:line="420" w:lineRule="atLeast"/>
        <w:ind w:firstLine="538"/>
        <w:rPr>
          <w:rFonts w:hint="eastAsia" w:ascii="黑体" w:eastAsia="黑体"/>
          <w:sz w:val="24"/>
        </w:rPr>
      </w:pPr>
      <w:r>
        <w:rPr>
          <w:rFonts w:hint="eastAsia" w:ascii="黑体" w:eastAsia="黑体"/>
          <w:sz w:val="24"/>
        </w:rPr>
        <w:t>d.若采用银行保函，银行保函的格式、内容、开具保函的银行、银行保函的有效期等均满足招标文件要求，且银行保函原件装订在投标文件的正本之中。</w:t>
      </w:r>
    </w:p>
    <w:p>
      <w:pPr>
        <w:spacing w:line="420" w:lineRule="atLeast"/>
        <w:ind w:firstLine="538"/>
        <w:rPr>
          <w:rFonts w:hint="eastAsia" w:ascii="黑体" w:eastAsia="黑体"/>
          <w:sz w:val="24"/>
        </w:rPr>
      </w:pPr>
      <w:r>
        <w:rPr>
          <w:rFonts w:hint="eastAsia" w:ascii="黑体" w:eastAsia="黑体"/>
          <w:sz w:val="24"/>
        </w:rPr>
        <w:t>(4)投标人法定代表人的授权代理人，需提交法定代表人的授权委托书，并符合下列要求：</w:t>
      </w:r>
    </w:p>
    <w:p>
      <w:pPr>
        <w:spacing w:line="420" w:lineRule="atLeast"/>
        <w:ind w:firstLine="538"/>
        <w:rPr>
          <w:rFonts w:hint="eastAsia" w:ascii="黑体" w:eastAsia="黑体"/>
          <w:sz w:val="24"/>
        </w:rPr>
      </w:pPr>
      <w:r>
        <w:rPr>
          <w:rFonts w:hint="eastAsia" w:ascii="黑体" w:eastAsia="黑体"/>
          <w:sz w:val="24"/>
        </w:rPr>
        <w:t>a.授权人和被授权人均在授权书上签名，未使用印章、签名章或其他电子制版签名代替；</w:t>
      </w:r>
    </w:p>
    <w:p>
      <w:pPr>
        <w:spacing w:line="420" w:lineRule="atLeast"/>
        <w:ind w:firstLine="538"/>
        <w:rPr>
          <w:rFonts w:hint="eastAsia" w:ascii="黑体" w:eastAsia="黑体"/>
          <w:sz w:val="24"/>
        </w:rPr>
      </w:pPr>
      <w:r>
        <w:rPr>
          <w:rFonts w:hint="eastAsia" w:ascii="黑体" w:eastAsia="黑体"/>
          <w:sz w:val="24"/>
        </w:rPr>
        <w:t>b.附有公证机关出具的加盖钢印、单位章并盖有公证员签名章的公证书，钢印应清晰可辨，同时公证内容完全满足招标文件规定；</w:t>
      </w:r>
    </w:p>
    <w:p>
      <w:pPr>
        <w:spacing w:line="420" w:lineRule="atLeast"/>
        <w:ind w:firstLine="538"/>
        <w:rPr>
          <w:rFonts w:hint="eastAsia" w:ascii="黑体" w:eastAsia="黑体"/>
          <w:sz w:val="24"/>
        </w:rPr>
      </w:pPr>
      <w:r>
        <w:rPr>
          <w:rFonts w:hint="eastAsia" w:ascii="黑体" w:eastAsia="黑体"/>
          <w:sz w:val="24"/>
        </w:rPr>
        <w:t>c.公证书出具的日期与授权书出具的日期同日或在其之后。</w:t>
      </w:r>
    </w:p>
    <w:p>
      <w:pPr>
        <w:spacing w:line="420" w:lineRule="atLeast"/>
        <w:ind w:firstLine="538"/>
        <w:rPr>
          <w:rFonts w:hint="eastAsia" w:ascii="黑体" w:eastAsia="黑体"/>
          <w:sz w:val="24"/>
        </w:rPr>
      </w:pPr>
      <w:r>
        <w:rPr>
          <w:rFonts w:hint="eastAsia" w:ascii="黑体" w:eastAsia="黑体"/>
          <w:sz w:val="24"/>
        </w:rPr>
        <w:t>(5)投标人法定代表人若亲自签署投标文件的，提供了法定代表人身份证明，并符合下列要求：</w:t>
      </w:r>
    </w:p>
    <w:p>
      <w:pPr>
        <w:spacing w:line="420" w:lineRule="atLeast"/>
        <w:ind w:firstLine="538"/>
        <w:rPr>
          <w:rFonts w:hint="eastAsia" w:ascii="黑体" w:eastAsia="黑体"/>
          <w:sz w:val="24"/>
        </w:rPr>
      </w:pPr>
      <w:r>
        <w:rPr>
          <w:rFonts w:hint="eastAsia" w:ascii="黑体" w:eastAsia="黑体"/>
          <w:sz w:val="24"/>
        </w:rPr>
        <w:t>a.法定代表人在法定代表人身份证明上签名，未使用印章、签名章或其他电子制版签名代替；</w:t>
      </w:r>
    </w:p>
    <w:p>
      <w:pPr>
        <w:spacing w:line="420" w:lineRule="atLeast"/>
        <w:ind w:firstLine="538"/>
        <w:rPr>
          <w:rFonts w:hint="eastAsia" w:ascii="黑体" w:eastAsia="黑体"/>
          <w:sz w:val="24"/>
        </w:rPr>
      </w:pPr>
      <w:r>
        <w:rPr>
          <w:rFonts w:hint="eastAsia" w:ascii="黑体" w:eastAsia="黑体"/>
          <w:sz w:val="24"/>
        </w:rPr>
        <w:t>b.附有公证机关出具的加盖钢印、单位章并盖有公证员签名章的公证书，钢印应清晰可辨，同时公证内容完全满足招标文件规定；</w:t>
      </w:r>
    </w:p>
    <w:p>
      <w:pPr>
        <w:spacing w:line="420" w:lineRule="atLeast"/>
        <w:ind w:firstLine="538"/>
        <w:rPr>
          <w:rFonts w:hint="eastAsia" w:ascii="黑体" w:eastAsia="黑体"/>
          <w:sz w:val="24"/>
        </w:rPr>
      </w:pPr>
      <w:r>
        <w:rPr>
          <w:rFonts w:hint="eastAsia" w:ascii="黑体" w:eastAsia="黑体"/>
          <w:sz w:val="24"/>
        </w:rPr>
        <w:t>c.公证书出具的日期与法定代表人身份证明出具的日期同日或在其之后。</w:t>
      </w:r>
    </w:p>
    <w:p>
      <w:pPr>
        <w:spacing w:line="420" w:lineRule="atLeast"/>
        <w:ind w:firstLine="538"/>
        <w:rPr>
          <w:rFonts w:hint="eastAsia" w:ascii="黑体" w:eastAsia="黑体"/>
          <w:sz w:val="24"/>
        </w:rPr>
      </w:pPr>
      <w:r>
        <w:rPr>
          <w:rFonts w:hint="eastAsia" w:ascii="黑体" w:eastAsia="黑体"/>
          <w:sz w:val="24"/>
        </w:rPr>
        <w:t>(6)投标人以联合体形式投标时，投标人按照招标文件提供的格式签订了联合体协议书，明确了联合体牵头人及各成员单位的责任及工作范围，且符合第二章“投标人须知”第1.4.2项规定；</w:t>
      </w:r>
    </w:p>
    <w:p>
      <w:pPr>
        <w:spacing w:line="420" w:lineRule="atLeast"/>
        <w:ind w:firstLine="538"/>
        <w:rPr>
          <w:rFonts w:hint="eastAsia" w:ascii="黑体" w:eastAsia="黑体"/>
          <w:sz w:val="24"/>
        </w:rPr>
      </w:pPr>
      <w:r>
        <w:rPr>
          <w:rFonts w:hint="eastAsia" w:ascii="黑体" w:eastAsia="黑体"/>
          <w:sz w:val="24"/>
        </w:rPr>
        <w:t>(7)投标人按第六章“投标文件格式”的规定填写了“拟分包项目情况表”，且符合第二章“投标人须知”第1.11款规定。</w:t>
      </w:r>
    </w:p>
    <w:p>
      <w:pPr>
        <w:spacing w:line="420" w:lineRule="atLeast"/>
        <w:ind w:firstLine="538"/>
        <w:rPr>
          <w:rFonts w:hint="eastAsia" w:ascii="黑体" w:eastAsia="黑体"/>
          <w:sz w:val="24"/>
        </w:rPr>
      </w:pPr>
      <w:r>
        <w:rPr>
          <w:rFonts w:hint="eastAsia" w:ascii="黑体" w:eastAsia="黑体"/>
          <w:sz w:val="24"/>
        </w:rPr>
        <w:t xml:space="preserve"> (8)投标文件未附有招标人不能接受的条件。</w:t>
      </w:r>
    </w:p>
    <w:p>
      <w:pPr>
        <w:spacing w:line="400" w:lineRule="atLeast"/>
        <w:ind w:firstLine="480" w:firstLineChars="200"/>
        <w:rPr>
          <w:rFonts w:hint="eastAsia"/>
          <w:sz w:val="24"/>
        </w:rPr>
      </w:pPr>
      <w:r>
        <w:rPr>
          <w:rFonts w:hint="eastAsia" w:eastAsia="黑体"/>
          <w:sz w:val="24"/>
        </w:rPr>
        <w:t>2.4</w:t>
      </w:r>
      <w:r>
        <w:rPr>
          <w:rFonts w:eastAsia="黑体"/>
          <w:sz w:val="24"/>
        </w:rPr>
        <w:t xml:space="preserve"> </w:t>
      </w:r>
      <w:r>
        <w:rPr>
          <w:rFonts w:hint="eastAsia" w:eastAsia="黑体"/>
          <w:sz w:val="24"/>
        </w:rPr>
        <w:t>第一信封</w:t>
      </w:r>
      <w:r>
        <w:rPr>
          <w:rFonts w:eastAsia="黑体"/>
          <w:sz w:val="24"/>
        </w:rPr>
        <w:t>澄清：</w:t>
      </w:r>
      <w:r>
        <w:rPr>
          <w:sz w:val="24"/>
        </w:rPr>
        <w:t>在评标过程中，评标委员会可以书面形式要求投标人对所提交投标文件中</w:t>
      </w:r>
      <w:r>
        <w:rPr>
          <w:rFonts w:hint="eastAsia"/>
          <w:sz w:val="24"/>
        </w:rPr>
        <w:t>含义不明确、对同类问题表述不一致或者有明显文字错误的内容作必要的澄清、说明或者补正。</w:t>
      </w:r>
      <w:r>
        <w:rPr>
          <w:sz w:val="24"/>
        </w:rPr>
        <w:t>评标委员会不接受投标人主动提出的澄清、说明或补正。</w:t>
      </w:r>
    </w:p>
    <w:p>
      <w:pPr>
        <w:spacing w:line="400" w:lineRule="atLeast"/>
        <w:ind w:firstLine="480" w:firstLineChars="200"/>
        <w:rPr>
          <w:sz w:val="24"/>
        </w:rPr>
      </w:pPr>
      <w:r>
        <w:rPr>
          <w:rFonts w:hint="eastAsia"/>
          <w:sz w:val="24"/>
        </w:rPr>
        <w:t>澄清、说明或者补正应以书面方式进行并不得超出投标文件的范围或者改变投标文件的实质性内容。</w:t>
      </w:r>
      <w:r>
        <w:rPr>
          <w:sz w:val="24"/>
        </w:rPr>
        <w:t>投标人的书面澄清、说明和补正属于投标文件的组成部分。</w:t>
      </w:r>
    </w:p>
    <w:p>
      <w:pPr>
        <w:spacing w:line="400" w:lineRule="atLeast"/>
        <w:ind w:firstLine="480" w:firstLineChars="200"/>
        <w:rPr>
          <w:sz w:val="24"/>
        </w:rPr>
      </w:pPr>
      <w:r>
        <w:rPr>
          <w:sz w:val="24"/>
        </w:rPr>
        <w:t>评标委员会对投标人提交的澄清、说明或补正有疑问的，可以要求投标人进一步澄清、说明或补正，直至满足评标委员会的要求。凡超出招标文件规定的或给发包人带来未曾要求的利益的变化、偏差或其他因素在评标时不予考虑。</w:t>
      </w:r>
    </w:p>
    <w:p>
      <w:pPr>
        <w:spacing w:line="400" w:lineRule="atLeast"/>
        <w:ind w:firstLine="480" w:firstLineChars="200"/>
        <w:rPr>
          <w:rFonts w:hint="eastAsia"/>
          <w:sz w:val="24"/>
        </w:rPr>
      </w:pPr>
      <w:r>
        <w:rPr>
          <w:rFonts w:hint="eastAsia"/>
          <w:sz w:val="24"/>
        </w:rPr>
        <w:t>2.5</w:t>
      </w:r>
      <w:r>
        <w:rPr>
          <w:sz w:val="24"/>
        </w:rPr>
        <w:t xml:space="preserve"> </w:t>
      </w:r>
      <w:r>
        <w:rPr>
          <w:rFonts w:hint="eastAsia" w:eastAsia="黑体"/>
          <w:sz w:val="24"/>
        </w:rPr>
        <w:t>第一信封</w:t>
      </w:r>
      <w:r>
        <w:rPr>
          <w:rFonts w:eastAsia="黑体"/>
          <w:sz w:val="24"/>
        </w:rPr>
        <w:t>详细评审：</w:t>
      </w:r>
      <w:r>
        <w:rPr>
          <w:sz w:val="24"/>
        </w:rPr>
        <w:t>评标委员会只对通过初步评审的投标文件第一信封（商务及技术文件）进行详细评审。评标委员会按</w:t>
      </w:r>
      <w:r>
        <w:rPr>
          <w:rFonts w:hint="eastAsia"/>
          <w:sz w:val="24"/>
        </w:rPr>
        <w:t>评标办法前附表</w:t>
      </w:r>
      <w:r>
        <w:rPr>
          <w:sz w:val="24"/>
        </w:rPr>
        <w:t>规定的</w:t>
      </w:r>
      <w:r>
        <w:rPr>
          <w:rFonts w:hint="eastAsia"/>
          <w:sz w:val="24"/>
        </w:rPr>
        <w:t>评标细则</w:t>
      </w:r>
      <w:r>
        <w:rPr>
          <w:sz w:val="24"/>
        </w:rPr>
        <w:t>进行评分，并计算出</w:t>
      </w:r>
      <w:r>
        <w:rPr>
          <w:rFonts w:hint="eastAsia"/>
          <w:sz w:val="24"/>
        </w:rPr>
        <w:t>各投标人的商务和技术</w:t>
      </w:r>
      <w:r>
        <w:rPr>
          <w:sz w:val="24"/>
        </w:rPr>
        <w:t>得分</w:t>
      </w:r>
      <w:r>
        <w:rPr>
          <w:rFonts w:hint="eastAsia"/>
          <w:sz w:val="24"/>
        </w:rPr>
        <w:t>。</w:t>
      </w:r>
    </w:p>
    <w:p>
      <w:pPr>
        <w:spacing w:line="420" w:lineRule="atLeast"/>
        <w:ind w:firstLine="538"/>
        <w:rPr>
          <w:sz w:val="24"/>
        </w:rPr>
      </w:pPr>
      <w:r>
        <w:rPr>
          <w:rFonts w:hint="eastAsia" w:eastAsia="黑体"/>
          <w:sz w:val="24"/>
        </w:rPr>
        <w:t>2.6</w:t>
      </w:r>
      <w:r>
        <w:rPr>
          <w:sz w:val="24"/>
        </w:rPr>
        <w:t xml:space="preserve"> 第一信封（商务及技术文件）评审结束后，招标人将按照</w:t>
      </w:r>
      <w:r>
        <w:rPr>
          <w:rFonts w:hint="eastAsia" w:ascii="宋体" w:hAnsi="宋体"/>
          <w:sz w:val="24"/>
        </w:rPr>
        <w:t>第二章</w:t>
      </w:r>
      <w:r>
        <w:rPr>
          <w:rFonts w:ascii="宋体" w:hAnsi="宋体"/>
          <w:sz w:val="24"/>
        </w:rPr>
        <w:t>“</w:t>
      </w:r>
      <w:r>
        <w:rPr>
          <w:rFonts w:hint="eastAsia" w:ascii="宋体" w:hAnsi="宋体"/>
          <w:sz w:val="24"/>
        </w:rPr>
        <w:t>投标</w:t>
      </w:r>
      <w:r>
        <w:rPr>
          <w:rFonts w:ascii="宋体" w:hAnsi="宋体"/>
          <w:sz w:val="24"/>
        </w:rPr>
        <w:t>人须知”</w:t>
      </w:r>
      <w:r>
        <w:rPr>
          <w:rFonts w:hint="eastAsia"/>
          <w:sz w:val="24"/>
        </w:rPr>
        <w:t>第5.1款</w:t>
      </w:r>
      <w:r>
        <w:rPr>
          <w:sz w:val="24"/>
        </w:rPr>
        <w:t>规定的时间和地点</w:t>
      </w:r>
      <w:r>
        <w:rPr>
          <w:rFonts w:hint="eastAsia"/>
          <w:sz w:val="24"/>
        </w:rPr>
        <w:t>对</w:t>
      </w:r>
      <w:r>
        <w:rPr>
          <w:sz w:val="24"/>
        </w:rPr>
        <w:t>通过投标文件第一信封（商务及技术文件）评审的投标</w:t>
      </w:r>
      <w:r>
        <w:rPr>
          <w:rFonts w:hint="eastAsia"/>
          <w:sz w:val="24"/>
        </w:rPr>
        <w:t>文件</w:t>
      </w:r>
      <w:r>
        <w:rPr>
          <w:sz w:val="24"/>
        </w:rPr>
        <w:t>第二信封（报价清单）进行开标。</w:t>
      </w:r>
    </w:p>
    <w:p>
      <w:pPr>
        <w:spacing w:line="420" w:lineRule="atLeast"/>
        <w:ind w:firstLine="538"/>
        <w:rPr>
          <w:sz w:val="24"/>
        </w:rPr>
      </w:pPr>
      <w:r>
        <w:rPr>
          <w:rFonts w:hint="eastAsia" w:eastAsia="黑体"/>
          <w:sz w:val="24"/>
        </w:rPr>
        <w:t>2.7</w:t>
      </w:r>
      <w:r>
        <w:rPr>
          <w:sz w:val="24"/>
        </w:rPr>
        <w:t xml:space="preserve"> </w:t>
      </w:r>
      <w:r>
        <w:rPr>
          <w:rFonts w:hint="eastAsia" w:eastAsia="黑体"/>
          <w:sz w:val="24"/>
        </w:rPr>
        <w:t>第二信封</w:t>
      </w:r>
      <w:r>
        <w:rPr>
          <w:rFonts w:eastAsia="黑体"/>
          <w:sz w:val="24"/>
        </w:rPr>
        <w:t>初步评审：</w:t>
      </w:r>
      <w:r>
        <w:rPr>
          <w:sz w:val="24"/>
        </w:rPr>
        <w:t>评标委员会对通过投标文件第一信封（商务及技术文件）评审的投标文件第二信封（报价清单）进行初步评审。投标文件第二信封（报价清单）通过初步评审的主要条件：</w:t>
      </w:r>
    </w:p>
    <w:p>
      <w:pPr>
        <w:spacing w:line="420" w:lineRule="atLeast"/>
        <w:ind w:firstLine="538"/>
        <w:rPr>
          <w:rFonts w:hint="eastAsia" w:ascii="黑体" w:eastAsia="黑体"/>
          <w:sz w:val="24"/>
        </w:rPr>
      </w:pPr>
      <w:r>
        <w:rPr>
          <w:rFonts w:hint="eastAsia" w:ascii="黑体" w:eastAsia="黑体"/>
          <w:sz w:val="24"/>
        </w:rPr>
        <w:t>(1) 第二信封（报价清单）按照招标文件规定的格式、内容填写，字迹清晰可辨，内容齐全完整；</w:t>
      </w:r>
    </w:p>
    <w:p>
      <w:pPr>
        <w:spacing w:line="420" w:lineRule="atLeast"/>
        <w:ind w:firstLine="538"/>
        <w:rPr>
          <w:rFonts w:hint="eastAsia" w:ascii="黑体" w:eastAsia="黑体"/>
          <w:sz w:val="24"/>
        </w:rPr>
      </w:pPr>
      <w:r>
        <w:rPr>
          <w:rFonts w:hint="eastAsia" w:ascii="黑体" w:eastAsia="黑体"/>
          <w:sz w:val="24"/>
        </w:rPr>
        <w:t>(2) 第二信封（报价清单）的所有内容应由投标人的法定代表人或其委托代理人逐页签署姓名（本页正文内容已由投标人的法定代表人或其委托代理人签署姓名的可不签署）；</w:t>
      </w:r>
    </w:p>
    <w:p>
      <w:pPr>
        <w:spacing w:line="420" w:lineRule="atLeast"/>
        <w:ind w:firstLine="538"/>
        <w:rPr>
          <w:rFonts w:hint="eastAsia" w:ascii="黑体" w:eastAsia="黑体"/>
          <w:sz w:val="24"/>
        </w:rPr>
      </w:pPr>
      <w:r>
        <w:rPr>
          <w:rFonts w:hint="eastAsia" w:ascii="黑体" w:eastAsia="黑体"/>
          <w:sz w:val="24"/>
        </w:rPr>
        <w:t>(3) 在报价函上填写了投标总价（包括大写金额和小写金额）；投标总价不高于招标人公布的最高投标限价（如有），且报价唯一；</w:t>
      </w:r>
    </w:p>
    <w:p>
      <w:pPr>
        <w:spacing w:line="420" w:lineRule="atLeast"/>
        <w:ind w:firstLine="538"/>
        <w:rPr>
          <w:rFonts w:hint="eastAsia" w:ascii="黑体" w:eastAsia="黑体"/>
          <w:sz w:val="24"/>
        </w:rPr>
      </w:pPr>
      <w:r>
        <w:rPr>
          <w:rFonts w:hint="eastAsia" w:ascii="黑体" w:eastAsia="黑体"/>
          <w:sz w:val="24"/>
        </w:rPr>
        <w:t>(4) 未修改招标人给定的暂列金额（如有）。</w:t>
      </w:r>
    </w:p>
    <w:p>
      <w:pPr>
        <w:spacing w:line="420" w:lineRule="atLeast"/>
        <w:ind w:firstLine="538"/>
        <w:rPr>
          <w:sz w:val="24"/>
        </w:rPr>
      </w:pPr>
      <w:r>
        <w:rPr>
          <w:rFonts w:hint="eastAsia" w:eastAsia="黑体"/>
          <w:sz w:val="24"/>
        </w:rPr>
        <w:t>2.8</w:t>
      </w:r>
      <w:r>
        <w:rPr>
          <w:rFonts w:eastAsia="黑体"/>
          <w:sz w:val="24"/>
        </w:rPr>
        <w:t xml:space="preserve"> </w:t>
      </w:r>
      <w:r>
        <w:rPr>
          <w:rFonts w:hint="eastAsia" w:eastAsia="黑体"/>
          <w:sz w:val="24"/>
        </w:rPr>
        <w:t>算术性修正：</w:t>
      </w:r>
      <w:r>
        <w:rPr>
          <w:sz w:val="24"/>
        </w:rPr>
        <w:t>评标委员会将</w:t>
      </w:r>
      <w:r>
        <w:rPr>
          <w:rFonts w:hint="eastAsia"/>
          <w:sz w:val="24"/>
        </w:rPr>
        <w:t>对</w:t>
      </w:r>
      <w:r>
        <w:rPr>
          <w:sz w:val="24"/>
        </w:rPr>
        <w:t>通过投标文件第</w:t>
      </w:r>
      <w:r>
        <w:rPr>
          <w:rFonts w:hint="eastAsia"/>
          <w:sz w:val="24"/>
        </w:rPr>
        <w:t>二信封</w:t>
      </w:r>
      <w:r>
        <w:rPr>
          <w:sz w:val="24"/>
        </w:rPr>
        <w:t>（报价清单）</w:t>
      </w:r>
      <w:r>
        <w:rPr>
          <w:rFonts w:hint="eastAsia"/>
          <w:sz w:val="24"/>
        </w:rPr>
        <w:t>初步评审的投标人</w:t>
      </w:r>
      <w:r>
        <w:rPr>
          <w:sz w:val="24"/>
        </w:rPr>
        <w:t>的投标报价进行校核，并对其中的算术性错误予以修正。修正的原则如下：</w:t>
      </w:r>
    </w:p>
    <w:p>
      <w:pPr>
        <w:spacing w:line="420" w:lineRule="atLeast"/>
        <w:ind w:firstLine="538"/>
        <w:rPr>
          <w:sz w:val="24"/>
        </w:rPr>
      </w:pPr>
      <w:r>
        <w:rPr>
          <w:sz w:val="24"/>
        </w:rPr>
        <w:t>(1) 大写金额与小写金额不一致的，以大写金额为准；</w:t>
      </w:r>
    </w:p>
    <w:p>
      <w:pPr>
        <w:spacing w:line="420" w:lineRule="atLeast"/>
        <w:ind w:firstLine="538"/>
        <w:rPr>
          <w:sz w:val="24"/>
        </w:rPr>
      </w:pPr>
      <w:r>
        <w:rPr>
          <w:sz w:val="24"/>
        </w:rPr>
        <w:t xml:space="preserve">(2) 单价金额与数量相乘与合价金额不一致的，以单价金额为准；如果单价金额有明显的小数点位置差错，应以标出的合价金额为准，同时对单价金额予以修正； </w:t>
      </w:r>
    </w:p>
    <w:p>
      <w:pPr>
        <w:spacing w:line="420" w:lineRule="atLeast"/>
        <w:ind w:firstLine="538"/>
        <w:rPr>
          <w:sz w:val="24"/>
        </w:rPr>
      </w:pPr>
      <w:r>
        <w:rPr>
          <w:sz w:val="24"/>
        </w:rPr>
        <w:t>(3) 合价金额累计与总价金额不一致的，以合价金额为准，修正总价金额。</w:t>
      </w:r>
    </w:p>
    <w:p>
      <w:pPr>
        <w:spacing w:line="400" w:lineRule="atLeast"/>
        <w:ind w:firstLine="480" w:firstLineChars="200"/>
        <w:rPr>
          <w:rFonts w:hint="eastAsia" w:ascii="隶书" w:eastAsia="隶书"/>
          <w:sz w:val="24"/>
        </w:rPr>
      </w:pPr>
      <w:r>
        <w:rPr>
          <w:rFonts w:hint="eastAsia" w:eastAsia="黑体"/>
          <w:sz w:val="24"/>
        </w:rPr>
        <w:t>2.9 第二信封澄清：</w:t>
      </w:r>
      <w:r>
        <w:rPr>
          <w:sz w:val="24"/>
        </w:rPr>
        <w:t>算术性修正后的报价</w:t>
      </w:r>
      <w:r>
        <w:rPr>
          <w:rFonts w:hint="eastAsia"/>
          <w:sz w:val="24"/>
        </w:rPr>
        <w:t>如果与投标人原报价不同</w:t>
      </w:r>
      <w:r>
        <w:rPr>
          <w:sz w:val="24"/>
        </w:rPr>
        <w:t>，评标时将书面通知投标人</w:t>
      </w:r>
      <w:r>
        <w:rPr>
          <w:rFonts w:hint="eastAsia"/>
          <w:sz w:val="24"/>
        </w:rPr>
        <w:t>进行澄清</w:t>
      </w:r>
      <w:r>
        <w:rPr>
          <w:sz w:val="24"/>
        </w:rPr>
        <w:t>，投标人应确认算术性修正后的报价；</w:t>
      </w:r>
      <w:r>
        <w:rPr>
          <w:rFonts w:hint="eastAsia" w:ascii="黑体" w:eastAsia="黑体"/>
          <w:sz w:val="24"/>
        </w:rPr>
        <w:t>如投标人拒绝确认，则其投标文件将不予评审，按废标处理，同时没收其投标担保</w:t>
      </w:r>
      <w:r>
        <w:rPr>
          <w:sz w:val="24"/>
        </w:rPr>
        <w:t>。</w:t>
      </w:r>
      <w:r>
        <w:rPr>
          <w:rFonts w:hint="eastAsia" w:ascii="黑体" w:eastAsia="黑体"/>
          <w:sz w:val="24"/>
        </w:rPr>
        <w:t>修正后的最终投标报价仅作为签订合同的一个依据，不参与评标价得分的计算。</w:t>
      </w:r>
    </w:p>
    <w:p>
      <w:pPr>
        <w:spacing w:line="400" w:lineRule="atLeast"/>
        <w:ind w:firstLine="480" w:firstLineChars="200"/>
        <w:rPr>
          <w:rFonts w:hint="eastAsia" w:ascii="黑体" w:eastAsia="黑体"/>
          <w:sz w:val="24"/>
        </w:rPr>
      </w:pPr>
      <w:r>
        <w:rPr>
          <w:rFonts w:hint="eastAsia" w:ascii="黑体" w:eastAsia="黑体"/>
          <w:sz w:val="24"/>
        </w:rPr>
        <w:t>若修正后的最终投标报价小于第二信封开标时的报价函文字报价，则签订合同时以修正后的最终投标报价为准；</w:t>
      </w:r>
    </w:p>
    <w:p>
      <w:pPr>
        <w:spacing w:line="400" w:lineRule="atLeast"/>
        <w:ind w:firstLine="480" w:firstLineChars="200"/>
        <w:rPr>
          <w:rFonts w:hint="eastAsia" w:ascii="黑体" w:eastAsia="黑体"/>
          <w:sz w:val="24"/>
        </w:rPr>
      </w:pPr>
      <w:r>
        <w:rPr>
          <w:rFonts w:hint="eastAsia" w:ascii="黑体" w:eastAsia="黑体"/>
          <w:sz w:val="24"/>
        </w:rPr>
        <w:t>若修正后的最终投标报价大于第二信封开标时的报价函文字报价，则签订合同时以开标时的报价函文字报价为准，同时按比例修正相应子目的单价或合价。</w:t>
      </w:r>
    </w:p>
    <w:p>
      <w:pPr>
        <w:spacing w:line="420" w:lineRule="atLeast"/>
        <w:ind w:firstLine="538"/>
        <w:rPr>
          <w:sz w:val="24"/>
        </w:rPr>
      </w:pPr>
      <w:r>
        <w:rPr>
          <w:rFonts w:hint="eastAsia" w:ascii="黑体" w:eastAsia="黑体"/>
          <w:sz w:val="24"/>
        </w:rPr>
        <w:t>修正后的最终投标报价若超过最高投标限价（如有），投标人的投标文件作废标处理。</w:t>
      </w:r>
    </w:p>
    <w:p>
      <w:pPr>
        <w:spacing w:line="420" w:lineRule="atLeast"/>
        <w:ind w:firstLine="538"/>
        <w:rPr>
          <w:sz w:val="24"/>
        </w:rPr>
      </w:pPr>
      <w:r>
        <w:rPr>
          <w:rFonts w:hint="eastAsia" w:eastAsia="黑体"/>
          <w:sz w:val="24"/>
        </w:rPr>
        <w:t>2.10</w:t>
      </w:r>
      <w:r>
        <w:rPr>
          <w:sz w:val="24"/>
        </w:rPr>
        <w:t xml:space="preserve"> </w:t>
      </w:r>
      <w:r>
        <w:rPr>
          <w:rFonts w:hint="eastAsia" w:eastAsia="黑体"/>
          <w:sz w:val="24"/>
        </w:rPr>
        <w:t>第二信封</w:t>
      </w:r>
      <w:r>
        <w:rPr>
          <w:rFonts w:eastAsia="黑体"/>
          <w:sz w:val="24"/>
        </w:rPr>
        <w:t>详细评审：</w:t>
      </w:r>
      <w:r>
        <w:rPr>
          <w:sz w:val="24"/>
        </w:rPr>
        <w:t>计算报价得分</w:t>
      </w:r>
      <w:r>
        <w:rPr>
          <w:rFonts w:hint="eastAsia"/>
          <w:sz w:val="24"/>
        </w:rPr>
        <w:t>。报价得分的计算方法如下所示：</w:t>
      </w:r>
    </w:p>
    <w:p>
      <w:pPr>
        <w:spacing w:line="420" w:lineRule="atLeast"/>
        <w:ind w:firstLine="538"/>
        <w:rPr>
          <w:sz w:val="24"/>
        </w:rPr>
      </w:pPr>
      <w:r>
        <w:rPr>
          <w:sz w:val="24"/>
        </w:rPr>
        <w:t>（1）评标价的确定：</w:t>
      </w:r>
      <w:r>
        <w:rPr>
          <w:rFonts w:hint="eastAsia"/>
          <w:sz w:val="24"/>
        </w:rPr>
        <w:t>评标价=报价函文字</w:t>
      </w:r>
      <w:r>
        <w:rPr>
          <w:sz w:val="24"/>
        </w:rPr>
        <w:t>报价</w:t>
      </w:r>
    </w:p>
    <w:p>
      <w:pPr>
        <w:spacing w:line="420" w:lineRule="atLeast"/>
        <w:ind w:firstLine="538"/>
        <w:rPr>
          <w:sz w:val="24"/>
        </w:rPr>
      </w:pPr>
      <w:r>
        <w:rPr>
          <w:rFonts w:hint="eastAsia"/>
          <w:sz w:val="24"/>
        </w:rPr>
        <w:t>（2）</w:t>
      </w:r>
      <w:r>
        <w:rPr>
          <w:sz w:val="24"/>
        </w:rPr>
        <w:t>评标基准价的确定</w:t>
      </w:r>
      <w:r>
        <w:rPr>
          <w:rFonts w:hint="eastAsia"/>
          <w:sz w:val="24"/>
        </w:rPr>
        <w:t>：以该项目所有合法报价中的最低价为基准价，</w:t>
      </w:r>
      <w:r>
        <w:rPr>
          <w:sz w:val="24"/>
        </w:rPr>
        <w:t xml:space="preserve"> </w:t>
      </w:r>
    </w:p>
    <w:p>
      <w:pPr>
        <w:spacing w:line="420" w:lineRule="atLeast"/>
        <w:ind w:firstLine="538"/>
        <w:rPr>
          <w:sz w:val="24"/>
        </w:rPr>
      </w:pPr>
      <w:r>
        <w:rPr>
          <w:sz w:val="24"/>
        </w:rPr>
        <w:t>（</w:t>
      </w:r>
      <w:r>
        <w:rPr>
          <w:rFonts w:hint="eastAsia"/>
          <w:sz w:val="24"/>
        </w:rPr>
        <w:t>3</w:t>
      </w:r>
      <w:r>
        <w:rPr>
          <w:sz w:val="24"/>
        </w:rPr>
        <w:t>）</w:t>
      </w:r>
      <w:r>
        <w:rPr>
          <w:rFonts w:hint="eastAsia"/>
          <w:sz w:val="24"/>
        </w:rPr>
        <w:t>评标价得分计算公式详见评标办法前附表。其中评标价最低得分为0分。</w:t>
      </w:r>
    </w:p>
    <w:p>
      <w:pPr>
        <w:spacing w:line="420" w:lineRule="atLeast"/>
        <w:ind w:firstLine="538"/>
        <w:rPr>
          <w:sz w:val="24"/>
        </w:rPr>
      </w:pPr>
      <w:r>
        <w:rPr>
          <w:rFonts w:hint="eastAsia" w:eastAsia="黑体"/>
          <w:sz w:val="24"/>
        </w:rPr>
        <w:t>2.11</w:t>
      </w:r>
      <w:r>
        <w:rPr>
          <w:sz w:val="24"/>
        </w:rPr>
        <w:t xml:space="preserve"> 评标委员会成员应当按照评标细则的规定，独立评分并署名。</w:t>
      </w:r>
      <w:r>
        <w:rPr>
          <w:rFonts w:hint="eastAsia"/>
          <w:sz w:val="24"/>
        </w:rPr>
        <w:t>各投标人的综合得分为商务和技术得分与报价得分之和。按照综合得分由高到低的顺序，评标委员会对投标人进行排名</w:t>
      </w:r>
      <w:r>
        <w:rPr>
          <w:sz w:val="24"/>
        </w:rPr>
        <w:t>。如最终得分相同时，则取投标文件</w:t>
      </w:r>
      <w:r>
        <w:rPr>
          <w:rFonts w:hint="eastAsia"/>
          <w:sz w:val="24"/>
        </w:rPr>
        <w:t>第</w:t>
      </w:r>
      <w:r>
        <w:rPr>
          <w:sz w:val="24"/>
        </w:rPr>
        <w:t>一信封（</w:t>
      </w:r>
      <w:r>
        <w:rPr>
          <w:rFonts w:hint="eastAsia"/>
          <w:sz w:val="24"/>
        </w:rPr>
        <w:t>商务和</w:t>
      </w:r>
      <w:r>
        <w:rPr>
          <w:sz w:val="24"/>
        </w:rPr>
        <w:t>技术文件）得分较高的优先。</w:t>
      </w:r>
    </w:p>
    <w:p>
      <w:pPr>
        <w:spacing w:line="420" w:lineRule="atLeast"/>
        <w:ind w:firstLine="538"/>
      </w:pPr>
      <w:r>
        <w:rPr>
          <w:rFonts w:hint="eastAsia" w:eastAsia="黑体"/>
          <w:sz w:val="24"/>
        </w:rPr>
        <w:t>2.12</w:t>
      </w:r>
      <w:r>
        <w:rPr>
          <w:rFonts w:eastAsia="黑体"/>
          <w:sz w:val="24"/>
        </w:rPr>
        <w:t xml:space="preserve"> </w:t>
      </w:r>
      <w:r>
        <w:rPr>
          <w:sz w:val="24"/>
        </w:rPr>
        <w:t>评标委员会应当在评标工作完成后，</w:t>
      </w:r>
      <w:r>
        <w:rPr>
          <w:rFonts w:hint="eastAsia"/>
          <w:sz w:val="24"/>
        </w:rPr>
        <w:t>按第二章</w:t>
      </w:r>
      <w:r>
        <w:rPr>
          <w:sz w:val="24"/>
        </w:rPr>
        <w:t>“</w:t>
      </w:r>
      <w:r>
        <w:rPr>
          <w:rFonts w:hint="eastAsia"/>
          <w:sz w:val="24"/>
        </w:rPr>
        <w:t>投标</w:t>
      </w:r>
      <w:r>
        <w:rPr>
          <w:sz w:val="24"/>
        </w:rPr>
        <w:t>人须知”第</w:t>
      </w:r>
      <w:r>
        <w:rPr>
          <w:rFonts w:hint="eastAsia"/>
          <w:sz w:val="24"/>
        </w:rPr>
        <w:t>6</w:t>
      </w:r>
      <w:r>
        <w:rPr>
          <w:sz w:val="24"/>
        </w:rPr>
        <w:t>.</w:t>
      </w:r>
      <w:r>
        <w:rPr>
          <w:rFonts w:hint="eastAsia"/>
          <w:sz w:val="24"/>
        </w:rPr>
        <w:t>1</w:t>
      </w:r>
      <w:r>
        <w:rPr>
          <w:sz w:val="24"/>
        </w:rPr>
        <w:t>.</w:t>
      </w:r>
      <w:r>
        <w:rPr>
          <w:rFonts w:hint="eastAsia"/>
          <w:sz w:val="24"/>
        </w:rPr>
        <w:t>3</w:t>
      </w:r>
      <w:r>
        <w:rPr>
          <w:sz w:val="24"/>
        </w:rPr>
        <w:t>项</w:t>
      </w:r>
      <w:r>
        <w:rPr>
          <w:rFonts w:hint="eastAsia"/>
          <w:sz w:val="24"/>
        </w:rPr>
        <w:t>规定的人数推荐</w:t>
      </w:r>
      <w:r>
        <w:rPr>
          <w:sz w:val="24"/>
        </w:rPr>
        <w:t>中标候选人并向招标人提出书面评标报告。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Plotter">
    <w:altName w:val="Times New Roman"/>
    <w:panose1 w:val="00000000000000000000"/>
    <w:charset w:val="00"/>
    <w:family w:val="roman"/>
    <w:pitch w:val="default"/>
    <w:sig w:usb0="00000000" w:usb1="00000000" w:usb2="00000000" w:usb3="00000000" w:csb0="00040001" w:csb1="00000000"/>
  </w:font>
  <w:font w:name="Garamond">
    <w:panose1 w:val="02020404030301010803"/>
    <w:charset w:val="00"/>
    <w:family w:val="roman"/>
    <w:pitch w:val="default"/>
    <w:sig w:usb0="00000287" w:usb1="00000000" w:usb2="00000000" w:usb3="00000000" w:csb0="0000009F" w:csb1="DFD70000"/>
  </w:font>
  <w:font w:name="方正小标宋简体">
    <w:altName w:val="微软雅黑"/>
    <w:panose1 w:val="03000509000000000000"/>
    <w:charset w:val="86"/>
    <w:family w:val="script"/>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Roman">
    <w:altName w:val="Times New Roman"/>
    <w:panose1 w:val="00000000000000000000"/>
    <w:charset w:val="FF"/>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sz w:val="17"/>
        <w:szCs w:val="17"/>
      </w:rPr>
    </w:pPr>
    <w:r>
      <w:rPr>
        <w:sz w:val="19"/>
        <w:szCs w:val="19"/>
      </w:rPr>
      <mc:AlternateContent>
        <mc:Choice Requires="wps">
          <w:drawing>
            <wp:anchor distT="0" distB="0" distL="114300" distR="114300" simplePos="0" relativeHeight="251661312" behindDoc="0" locked="0" layoutInCell="1" allowOverlap="1">
              <wp:simplePos x="0" y="0"/>
              <wp:positionH relativeFrom="column">
                <wp:posOffset>-45720</wp:posOffset>
              </wp:positionH>
              <wp:positionV relativeFrom="paragraph">
                <wp:posOffset>175895</wp:posOffset>
              </wp:positionV>
              <wp:extent cx="5343525" cy="0"/>
              <wp:effectExtent l="0" t="22225" r="9525" b="34925"/>
              <wp:wrapNone/>
              <wp:docPr id="1" name="直线 1"/>
              <wp:cNvGraphicFramePr/>
              <a:graphic xmlns:a="http://schemas.openxmlformats.org/drawingml/2006/main">
                <a:graphicData uri="http://schemas.microsoft.com/office/word/2010/wordprocessingShape">
                  <wps:wsp>
                    <wps:cNvCnPr/>
                    <wps:spPr>
                      <a:xfrm>
                        <a:off x="0" y="0"/>
                        <a:ext cx="5343525" cy="0"/>
                      </a:xfrm>
                      <a:prstGeom prst="line">
                        <a:avLst/>
                      </a:prstGeom>
                      <a:ln w="44450" cap="flat" cmpd="thickThin">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3.6pt;margin-top:13.85pt;height:0pt;width:420.75pt;z-index:251661312;mso-width-relative:page;mso-height-relative:page;" filled="f" stroked="t" coordsize="21600,21600" o:gfxdata="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ilZfe1gAAAAgBAAAPAAAAAAAAAAEAIAAAACIA&#10;AABkcnMvZG93bnJldi54bWxQSwECFAAUAAAACACHTuJA5zcPidIBAACUAwAADgAAAAAAAAABACAA&#10;AAAlAQAAZHJzL2Uyb0RvYy54bWxQSwUGAAAAAAYABgBZAQAAaQUAAAAA&#10;">
              <v:fill on="f" focussize="0,0"/>
              <v:stroke weight="3.5pt" color="#000000" linestyle="thickThin" joinstyle="round"/>
              <v:imagedata o:title=""/>
              <o:lock v:ext="edit" aspectratio="f"/>
            </v:line>
          </w:pict>
        </mc:Fallback>
      </mc:AlternateContent>
    </w:r>
    <w:r>
      <w:rPr>
        <w:rFonts w:hint="eastAsia"/>
        <w:kern w:val="0"/>
        <w:sz w:val="17"/>
        <w:szCs w:val="17"/>
      </w:rPr>
      <w:t>廊坊至涿州高速</w:t>
    </w:r>
    <w:r>
      <w:rPr>
        <w:rFonts w:hint="eastAsia"/>
        <w:sz w:val="17"/>
        <w:szCs w:val="17"/>
      </w:rPr>
      <w:t xml:space="preserve">公路涿州至旧州段路基桥涵工程勘察设计招标资格预审文件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sz w:val="17"/>
        <w:szCs w:val="17"/>
      </w:rPr>
    </w:pPr>
    <w:r>
      <w:rPr>
        <w:sz w:val="19"/>
        <w:szCs w:val="19"/>
      </w:rPr>
      <mc:AlternateContent>
        <mc:Choice Requires="wps">
          <w:drawing>
            <wp:anchor distT="0" distB="0" distL="114300" distR="114300" simplePos="0" relativeHeight="251662336" behindDoc="0" locked="0" layoutInCell="1" allowOverlap="1">
              <wp:simplePos x="0" y="0"/>
              <wp:positionH relativeFrom="column">
                <wp:posOffset>-45720</wp:posOffset>
              </wp:positionH>
              <wp:positionV relativeFrom="paragraph">
                <wp:posOffset>175895</wp:posOffset>
              </wp:positionV>
              <wp:extent cx="5343525" cy="0"/>
              <wp:effectExtent l="0" t="22225" r="9525" b="34925"/>
              <wp:wrapNone/>
              <wp:docPr id="2" name="直线 2"/>
              <wp:cNvGraphicFramePr/>
              <a:graphic xmlns:a="http://schemas.openxmlformats.org/drawingml/2006/main">
                <a:graphicData uri="http://schemas.microsoft.com/office/word/2010/wordprocessingShape">
                  <wps:wsp>
                    <wps:cNvCnPr/>
                    <wps:spPr>
                      <a:xfrm>
                        <a:off x="0" y="0"/>
                        <a:ext cx="5343525" cy="0"/>
                      </a:xfrm>
                      <a:prstGeom prst="line">
                        <a:avLst/>
                      </a:prstGeom>
                      <a:ln w="44450" cap="flat" cmpd="thickThin">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3.6pt;margin-top:13.85pt;height:0pt;width:420.75pt;z-index:251662336;mso-width-relative:page;mso-height-relative:page;" filled="f" stroked="t" coordsize="21600,21600" o:gfxdata="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pWX3tYAAAAIAQAADwAAAAAAAAABACAAAAAi&#10;AAAAZHJzL2Rvd25yZXYueG1sUEsBAhQAFAAAAAgAh07iQMRAUBjTAQAAlAMAAA4AAAAAAAAAAQAg&#10;AAAAJQEAAGRycy9lMm9Eb2MueG1sUEsFBgAAAAAGAAYAWQEAAGoFAAAAAA==&#10;">
              <v:fill on="f" focussize="0,0"/>
              <v:stroke weight="3.5pt" color="#000000" linestyle="thickThin" joinstyle="round"/>
              <v:imagedata o:title=""/>
              <o:lock v:ext="edit" aspectratio="f"/>
            </v:line>
          </w:pict>
        </mc:Fallback>
      </mc:AlternateContent>
    </w:r>
    <w:r>
      <w:rPr>
        <w:rFonts w:hint="eastAsia"/>
        <w:kern w:val="0"/>
        <w:sz w:val="17"/>
        <w:szCs w:val="17"/>
      </w:rPr>
      <w:t>廊坊至涿州高速</w:t>
    </w:r>
    <w:r>
      <w:rPr>
        <w:rFonts w:hint="eastAsia"/>
        <w:sz w:val="17"/>
        <w:szCs w:val="17"/>
      </w:rPr>
      <w:t xml:space="preserve">公路涿州至旧州段路基桥涵工程勘察设计招标资格预审文件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F750FC"/>
    <w:rsid w:val="26F750FC"/>
    <w:rsid w:val="68802941"/>
    <w:rsid w:val="6ECF2F16"/>
    <w:rsid w:val="71315873"/>
    <w:rsid w:val="7F9F03D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link w:val="4"/>
    <w:semiHidden/>
    <w:uiPriority w:val="0"/>
    <w:rPr>
      <w:rFonts w:ascii="Tahoma" w:hAnsi="Tahoma"/>
      <w:sz w:val="24"/>
      <w:szCs w:val="20"/>
    </w:rPr>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0"/>
    <w:pPr>
      <w:tabs>
        <w:tab w:val="center" w:pos="4153"/>
        <w:tab w:val="right" w:pos="8306"/>
      </w:tabs>
      <w:snapToGrid w:val="0"/>
      <w:jc w:val="center"/>
    </w:pPr>
    <w:rPr>
      <w:sz w:val="18"/>
      <w:szCs w:val="18"/>
    </w:rPr>
  </w:style>
  <w:style w:type="paragraph" w:customStyle="1" w:styleId="4">
    <w:name w:val=" Char Char Char"/>
    <w:basedOn w:val="1"/>
    <w:link w:val="3"/>
    <w:qFormat/>
    <w:uiPriority w:val="0"/>
    <w:rPr>
      <w:rFonts w:ascii="Tahoma" w:hAnsi="Tahoma"/>
      <w:sz w:val="24"/>
      <w:szCs w:val="20"/>
    </w:rPr>
  </w:style>
  <w:style w:type="character" w:styleId="5">
    <w:name w:val="Strong"/>
    <w:basedOn w:val="3"/>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2016-08-16T09:54:00Z</dcterms:created>
  <dc:creator>Administrator</dc:creator>
  <cp:lastModifiedBy>Administrator</cp:lastModifiedBy>
  <dcterms:modified xsi:type="dcterms:W3CDTF">2016-08-26T03:58:53Z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