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EC" w:rsidRDefault="00AA0CEC">
      <w:pPr>
        <w:jc w:val="center"/>
        <w:rPr>
          <w:rFonts w:eastAsia="黑体" w:cs="Times New Roman"/>
          <w:sz w:val="48"/>
          <w:szCs w:val="48"/>
        </w:rPr>
      </w:pPr>
    </w:p>
    <w:p w:rsidR="00AA0CEC" w:rsidRDefault="00AA0CEC">
      <w:pPr>
        <w:jc w:val="center"/>
        <w:rPr>
          <w:rFonts w:eastAsia="黑体" w:cs="Times New Roman"/>
          <w:sz w:val="48"/>
          <w:szCs w:val="48"/>
        </w:rPr>
      </w:pPr>
    </w:p>
    <w:p w:rsidR="00AA0CEC" w:rsidRDefault="00AA0CEC">
      <w:pPr>
        <w:jc w:val="center"/>
        <w:rPr>
          <w:rFonts w:eastAsia="黑体" w:cs="Times New Roman"/>
          <w:sz w:val="48"/>
          <w:szCs w:val="48"/>
        </w:rPr>
      </w:pPr>
    </w:p>
    <w:p w:rsidR="00AA0CEC" w:rsidRDefault="00AA0CEC">
      <w:pPr>
        <w:rPr>
          <w:rFonts w:cs="Times New Roman"/>
        </w:rPr>
      </w:pPr>
    </w:p>
    <w:p w:rsidR="00AA0CEC" w:rsidRDefault="00DA349F">
      <w:pPr>
        <w:jc w:val="center"/>
        <w:rPr>
          <w:rFonts w:eastAsia="黑体" w:cs="Times New Roman"/>
          <w:b/>
          <w:bCs/>
          <w:sz w:val="48"/>
          <w:szCs w:val="48"/>
        </w:rPr>
      </w:pPr>
      <w:r>
        <w:rPr>
          <w:rFonts w:eastAsia="黑体" w:cs="Times New Roman"/>
          <w:b/>
          <w:bCs/>
          <w:sz w:val="48"/>
          <w:szCs w:val="48"/>
        </w:rPr>
        <w:t>新疆生产建设兵团公共交通</w:t>
      </w:r>
    </w:p>
    <w:p w:rsidR="00AA0CEC" w:rsidRDefault="00DA349F">
      <w:pPr>
        <w:jc w:val="center"/>
        <w:rPr>
          <w:rFonts w:eastAsia="黑体" w:cs="Times New Roman"/>
          <w:b/>
          <w:bCs/>
          <w:sz w:val="48"/>
          <w:szCs w:val="48"/>
        </w:rPr>
      </w:pPr>
      <w:r>
        <w:rPr>
          <w:rFonts w:eastAsia="黑体" w:cs="Times New Roman" w:hint="eastAsia"/>
          <w:b/>
          <w:bCs/>
          <w:sz w:val="48"/>
          <w:szCs w:val="48"/>
        </w:rPr>
        <w:t>“</w:t>
      </w:r>
      <w:r>
        <w:rPr>
          <w:rFonts w:eastAsia="黑体" w:cs="Times New Roman"/>
          <w:b/>
          <w:bCs/>
          <w:sz w:val="48"/>
          <w:szCs w:val="48"/>
        </w:rPr>
        <w:t>十三五</w:t>
      </w:r>
      <w:r>
        <w:rPr>
          <w:rFonts w:eastAsia="黑体" w:cs="Times New Roman" w:hint="eastAsia"/>
          <w:b/>
          <w:bCs/>
          <w:sz w:val="48"/>
          <w:szCs w:val="48"/>
        </w:rPr>
        <w:t>”</w:t>
      </w:r>
      <w:r>
        <w:rPr>
          <w:rFonts w:eastAsia="黑体" w:cs="Times New Roman"/>
          <w:b/>
          <w:bCs/>
          <w:sz w:val="48"/>
          <w:szCs w:val="48"/>
        </w:rPr>
        <w:t>发展规划纲要</w:t>
      </w:r>
    </w:p>
    <w:p w:rsidR="00AA0CEC" w:rsidRDefault="00AA0CEC">
      <w:pPr>
        <w:widowControl/>
        <w:jc w:val="left"/>
        <w:rPr>
          <w:rFonts w:cs="Times New Roman"/>
          <w:szCs w:val="24"/>
        </w:rPr>
      </w:pPr>
    </w:p>
    <w:p w:rsidR="00AA0CEC" w:rsidRPr="000256A0" w:rsidRDefault="000256A0" w:rsidP="000256A0">
      <w:pPr>
        <w:widowControl/>
        <w:jc w:val="center"/>
        <w:rPr>
          <w:rFonts w:ascii="黑体" w:eastAsia="黑体" w:cs="Times New Roman" w:hint="eastAsia"/>
          <w:sz w:val="44"/>
          <w:szCs w:val="44"/>
        </w:rPr>
      </w:pPr>
      <w:r w:rsidRPr="000256A0">
        <w:rPr>
          <w:rFonts w:ascii="黑体" w:eastAsia="黑体" w:cs="Times New Roman" w:hint="eastAsia"/>
          <w:sz w:val="44"/>
          <w:szCs w:val="44"/>
        </w:rPr>
        <w:t>（征求意见稿）</w:t>
      </w:r>
    </w:p>
    <w:p w:rsidR="00AA0CEC" w:rsidRDefault="00AA0CEC">
      <w:pPr>
        <w:widowControl/>
        <w:jc w:val="left"/>
        <w:rPr>
          <w:rFonts w:cs="Times New Roman"/>
          <w:szCs w:val="24"/>
        </w:rPr>
      </w:pPr>
    </w:p>
    <w:p w:rsidR="00AA0CEC" w:rsidRDefault="00AA0CEC">
      <w:pPr>
        <w:widowControl/>
        <w:jc w:val="left"/>
        <w:rPr>
          <w:rFonts w:cs="Times New Roman"/>
          <w:szCs w:val="24"/>
        </w:rPr>
      </w:pPr>
    </w:p>
    <w:p w:rsidR="00AA0CEC" w:rsidRDefault="00AA0CEC">
      <w:pPr>
        <w:widowControl/>
        <w:jc w:val="left"/>
        <w:rPr>
          <w:rFonts w:cs="Times New Roman"/>
          <w:szCs w:val="24"/>
        </w:rPr>
      </w:pPr>
    </w:p>
    <w:p w:rsidR="00AA0CEC" w:rsidRDefault="00AA0CEC">
      <w:pPr>
        <w:widowControl/>
        <w:jc w:val="left"/>
        <w:rPr>
          <w:rFonts w:cs="Times New Roman"/>
          <w:szCs w:val="24"/>
        </w:rPr>
      </w:pPr>
    </w:p>
    <w:p w:rsidR="00AA0CEC" w:rsidRDefault="00AA0CEC">
      <w:pPr>
        <w:widowControl/>
        <w:jc w:val="left"/>
        <w:rPr>
          <w:rFonts w:cs="Times New Roman"/>
          <w:szCs w:val="24"/>
        </w:rPr>
      </w:pPr>
    </w:p>
    <w:p w:rsidR="00AA0CEC" w:rsidRDefault="00AA0CEC">
      <w:pPr>
        <w:widowControl/>
        <w:jc w:val="left"/>
        <w:rPr>
          <w:rFonts w:cs="Times New Roman"/>
          <w:szCs w:val="24"/>
        </w:rPr>
      </w:pPr>
    </w:p>
    <w:p w:rsidR="00AA0CEC" w:rsidRDefault="00AA0CEC">
      <w:pPr>
        <w:widowControl/>
        <w:jc w:val="left"/>
        <w:rPr>
          <w:rFonts w:cs="Times New Roman"/>
          <w:szCs w:val="24"/>
        </w:rPr>
      </w:pPr>
    </w:p>
    <w:p w:rsidR="00AA0CEC" w:rsidRDefault="00AA0CEC">
      <w:pPr>
        <w:widowControl/>
        <w:jc w:val="left"/>
        <w:rPr>
          <w:rFonts w:cs="Times New Roman"/>
          <w:szCs w:val="24"/>
        </w:rPr>
      </w:pPr>
    </w:p>
    <w:p w:rsidR="00AA0CEC" w:rsidRDefault="00AA0CEC">
      <w:pPr>
        <w:widowControl/>
        <w:jc w:val="left"/>
        <w:rPr>
          <w:rFonts w:cs="Times New Roman"/>
          <w:szCs w:val="24"/>
        </w:rPr>
      </w:pPr>
    </w:p>
    <w:p w:rsidR="00AA0CEC" w:rsidRDefault="00AA0CEC">
      <w:pPr>
        <w:widowControl/>
        <w:jc w:val="left"/>
        <w:rPr>
          <w:rFonts w:cs="Times New Roman"/>
          <w:szCs w:val="24"/>
        </w:rPr>
      </w:pPr>
    </w:p>
    <w:p w:rsidR="00AA0CEC" w:rsidRDefault="00AA0CEC">
      <w:pPr>
        <w:widowControl/>
        <w:jc w:val="left"/>
        <w:rPr>
          <w:rFonts w:cs="Times New Roman"/>
          <w:szCs w:val="24"/>
        </w:rPr>
      </w:pPr>
    </w:p>
    <w:p w:rsidR="00AA0CEC" w:rsidRDefault="00AA0CEC">
      <w:pPr>
        <w:widowControl/>
        <w:jc w:val="left"/>
        <w:rPr>
          <w:rFonts w:cs="Times New Roman"/>
          <w:szCs w:val="24"/>
        </w:rPr>
      </w:pPr>
    </w:p>
    <w:p w:rsidR="00AA0CEC" w:rsidRDefault="00DA349F" w:rsidP="000256A0">
      <w:pPr>
        <w:spacing w:beforeLines="50"/>
        <w:jc w:val="center"/>
        <w:rPr>
          <w:rFonts w:eastAsia="黑体"/>
          <w:b/>
          <w:sz w:val="44"/>
          <w:szCs w:val="44"/>
        </w:rPr>
      </w:pPr>
      <w:r>
        <w:rPr>
          <w:rFonts w:eastAsia="黑体" w:hint="eastAsia"/>
          <w:b/>
          <w:sz w:val="44"/>
          <w:szCs w:val="44"/>
        </w:rPr>
        <w:t>新疆生产建设兵团交通局</w:t>
      </w:r>
    </w:p>
    <w:p w:rsidR="00AA0CEC" w:rsidRPr="00EF7C3F" w:rsidRDefault="00DA349F" w:rsidP="00EF7C3F">
      <w:pPr>
        <w:spacing w:beforeLines="50"/>
        <w:jc w:val="center"/>
        <w:rPr>
          <w:rFonts w:eastAsia="黑体"/>
          <w:b/>
          <w:sz w:val="44"/>
          <w:szCs w:val="44"/>
        </w:rPr>
        <w:sectPr w:rsidR="00AA0CEC" w:rsidRPr="00EF7C3F">
          <w:headerReference w:type="default" r:id="rId9"/>
          <w:footerReference w:type="default" r:id="rId10"/>
          <w:pgSz w:w="11906" w:h="16838"/>
          <w:pgMar w:top="1440" w:right="1800" w:bottom="1440" w:left="1800" w:header="851" w:footer="992" w:gutter="0"/>
          <w:cols w:space="425"/>
          <w:docGrid w:type="lines" w:linePitch="312"/>
        </w:sectPr>
      </w:pPr>
      <w:r>
        <w:rPr>
          <w:rFonts w:eastAsia="黑体"/>
          <w:b/>
          <w:sz w:val="44"/>
          <w:szCs w:val="44"/>
        </w:rPr>
        <w:t>二〇一六年</w:t>
      </w:r>
      <w:r w:rsidR="00021CEB">
        <w:rPr>
          <w:rFonts w:eastAsia="黑体" w:hint="eastAsia"/>
          <w:b/>
          <w:sz w:val="44"/>
          <w:szCs w:val="44"/>
        </w:rPr>
        <w:t>十</w:t>
      </w:r>
      <w:r>
        <w:rPr>
          <w:rFonts w:eastAsia="黑体" w:hint="eastAsia"/>
          <w:b/>
          <w:sz w:val="44"/>
          <w:szCs w:val="44"/>
        </w:rPr>
        <w:t>月</w:t>
      </w:r>
    </w:p>
    <w:p w:rsidR="009A6F7E" w:rsidRDefault="009A6F7E" w:rsidP="00EF7C3F">
      <w:pPr>
        <w:widowControl/>
        <w:spacing w:line="240" w:lineRule="auto"/>
        <w:rPr>
          <w:rFonts w:eastAsia="黑体" w:cs="Times New Roman"/>
          <w:sz w:val="44"/>
          <w:szCs w:val="44"/>
        </w:rPr>
      </w:pPr>
    </w:p>
    <w:p w:rsidR="009A6F7E" w:rsidRDefault="009A6F7E" w:rsidP="004A6F76">
      <w:pPr>
        <w:widowControl/>
        <w:spacing w:line="240" w:lineRule="auto"/>
        <w:jc w:val="center"/>
        <w:rPr>
          <w:rFonts w:eastAsia="黑体" w:cs="Times New Roman"/>
          <w:sz w:val="44"/>
          <w:szCs w:val="44"/>
        </w:rPr>
      </w:pPr>
    </w:p>
    <w:p w:rsidR="00AA0CEC" w:rsidRDefault="00DA349F" w:rsidP="004A6F76">
      <w:pPr>
        <w:widowControl/>
        <w:spacing w:line="240" w:lineRule="auto"/>
        <w:jc w:val="center"/>
        <w:rPr>
          <w:rFonts w:eastAsia="黑体" w:cs="Times New Roman"/>
          <w:sz w:val="44"/>
          <w:szCs w:val="44"/>
        </w:rPr>
      </w:pPr>
      <w:r>
        <w:rPr>
          <w:rFonts w:eastAsia="黑体" w:cs="Times New Roman"/>
          <w:sz w:val="44"/>
          <w:szCs w:val="44"/>
        </w:rPr>
        <w:t>目</w:t>
      </w:r>
      <w:r>
        <w:rPr>
          <w:rFonts w:eastAsia="黑体" w:cs="Times New Roman"/>
          <w:sz w:val="44"/>
          <w:szCs w:val="44"/>
        </w:rPr>
        <w:t xml:space="preserve">    </w:t>
      </w:r>
      <w:r>
        <w:rPr>
          <w:rFonts w:eastAsia="黑体" w:cs="Times New Roman"/>
          <w:sz w:val="44"/>
          <w:szCs w:val="44"/>
        </w:rPr>
        <w:t>录</w:t>
      </w:r>
    </w:p>
    <w:p w:rsidR="00BE396A" w:rsidRPr="00BE396A" w:rsidRDefault="001720D6" w:rsidP="00BE396A">
      <w:pPr>
        <w:pStyle w:val="10"/>
        <w:tabs>
          <w:tab w:val="right" w:leader="dot" w:pos="8296"/>
        </w:tabs>
        <w:spacing w:line="480" w:lineRule="auto"/>
        <w:rPr>
          <w:rFonts w:asciiTheme="minorHAnsi" w:hAnsiTheme="minorHAnsi"/>
          <w:b/>
          <w:noProof/>
          <w:sz w:val="28"/>
          <w:szCs w:val="28"/>
        </w:rPr>
      </w:pPr>
      <w:r>
        <w:rPr>
          <w:rFonts w:eastAsia="黑体" w:cs="Times New Roman"/>
          <w:sz w:val="28"/>
          <w:szCs w:val="28"/>
        </w:rPr>
        <w:fldChar w:fldCharType="begin"/>
      </w:r>
      <w:r w:rsidR="00DA349F">
        <w:rPr>
          <w:rFonts w:eastAsia="黑体" w:cs="Times New Roman"/>
          <w:sz w:val="28"/>
          <w:szCs w:val="28"/>
        </w:rPr>
        <w:instrText xml:space="preserve"> TOC \o "1-3" \h \z \u </w:instrText>
      </w:r>
      <w:r>
        <w:rPr>
          <w:rFonts w:eastAsia="黑体" w:cs="Times New Roman"/>
          <w:sz w:val="28"/>
          <w:szCs w:val="28"/>
        </w:rPr>
        <w:fldChar w:fldCharType="separate"/>
      </w:r>
      <w:hyperlink w:anchor="_Toc454809975" w:history="1">
        <w:r w:rsidR="00BE396A" w:rsidRPr="00BE396A">
          <w:rPr>
            <w:rStyle w:val="a8"/>
            <w:rFonts w:cs="Times New Roman" w:hint="eastAsia"/>
            <w:b/>
            <w:noProof/>
            <w:sz w:val="28"/>
            <w:szCs w:val="28"/>
          </w:rPr>
          <w:t>前</w:t>
        </w:r>
        <w:r w:rsidR="00BE396A" w:rsidRPr="00BE396A">
          <w:rPr>
            <w:rStyle w:val="a8"/>
            <w:rFonts w:cs="Times New Roman"/>
            <w:b/>
            <w:noProof/>
            <w:sz w:val="28"/>
            <w:szCs w:val="28"/>
          </w:rPr>
          <w:t xml:space="preserve"> </w:t>
        </w:r>
        <w:r w:rsidR="00BE396A" w:rsidRPr="00BE396A">
          <w:rPr>
            <w:rStyle w:val="a8"/>
            <w:rFonts w:cs="Times New Roman" w:hint="eastAsia"/>
            <w:b/>
            <w:noProof/>
            <w:sz w:val="28"/>
            <w:szCs w:val="28"/>
          </w:rPr>
          <w:t>言</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_Toc454809975 \h </w:instrText>
        </w:r>
        <w:r w:rsidRPr="00BE396A">
          <w:rPr>
            <w:noProof/>
            <w:webHidden/>
            <w:sz w:val="28"/>
            <w:szCs w:val="28"/>
          </w:rPr>
        </w:r>
        <w:r w:rsidRPr="00BE396A">
          <w:rPr>
            <w:noProof/>
            <w:webHidden/>
            <w:sz w:val="28"/>
            <w:szCs w:val="28"/>
          </w:rPr>
          <w:fldChar w:fldCharType="separate"/>
        </w:r>
        <w:r w:rsidR="002F7EEC">
          <w:rPr>
            <w:noProof/>
            <w:webHidden/>
            <w:sz w:val="28"/>
            <w:szCs w:val="28"/>
          </w:rPr>
          <w:t>1</w:t>
        </w:r>
        <w:r w:rsidRPr="00BE396A">
          <w:rPr>
            <w:noProof/>
            <w:webHidden/>
            <w:sz w:val="28"/>
            <w:szCs w:val="28"/>
          </w:rPr>
          <w:fldChar w:fldCharType="end"/>
        </w:r>
      </w:hyperlink>
    </w:p>
    <w:p w:rsidR="00BE396A" w:rsidRPr="00BE396A" w:rsidRDefault="001720D6" w:rsidP="00BE396A">
      <w:pPr>
        <w:pStyle w:val="20"/>
        <w:tabs>
          <w:tab w:val="right" w:leader="dot" w:pos="8296"/>
        </w:tabs>
        <w:spacing w:line="480" w:lineRule="auto"/>
        <w:ind w:left="480"/>
        <w:rPr>
          <w:rFonts w:asciiTheme="minorHAnsi" w:hAnsiTheme="minorHAnsi"/>
          <w:noProof/>
          <w:sz w:val="28"/>
          <w:szCs w:val="28"/>
        </w:rPr>
      </w:pPr>
      <w:hyperlink w:anchor="_Toc454809976" w:history="1">
        <w:r w:rsidR="00BE396A" w:rsidRPr="00BE396A">
          <w:rPr>
            <w:rStyle w:val="a8"/>
            <w:rFonts w:hint="eastAsia"/>
            <w:b/>
            <w:noProof/>
            <w:sz w:val="28"/>
            <w:szCs w:val="28"/>
          </w:rPr>
          <w:t>一、现状与形势</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_Toc454809976 \h </w:instrText>
        </w:r>
        <w:r w:rsidRPr="00BE396A">
          <w:rPr>
            <w:noProof/>
            <w:webHidden/>
            <w:sz w:val="28"/>
            <w:szCs w:val="28"/>
          </w:rPr>
        </w:r>
        <w:r w:rsidRPr="00BE396A">
          <w:rPr>
            <w:noProof/>
            <w:webHidden/>
            <w:sz w:val="28"/>
            <w:szCs w:val="28"/>
          </w:rPr>
          <w:fldChar w:fldCharType="separate"/>
        </w:r>
        <w:r w:rsidR="002F7EEC">
          <w:rPr>
            <w:noProof/>
            <w:webHidden/>
            <w:sz w:val="28"/>
            <w:szCs w:val="28"/>
          </w:rPr>
          <w:t>2</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77" w:history="1">
        <w:r w:rsidR="00BE396A" w:rsidRPr="00BE396A">
          <w:rPr>
            <w:rStyle w:val="a8"/>
            <w:rFonts w:cs="Times New Roman" w:hint="eastAsia"/>
            <w:noProof/>
            <w:sz w:val="28"/>
            <w:szCs w:val="28"/>
          </w:rPr>
          <w:t>（一）发展基础</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_Toc454809977 \h </w:instrText>
        </w:r>
        <w:r w:rsidRPr="00BE396A">
          <w:rPr>
            <w:noProof/>
            <w:webHidden/>
            <w:sz w:val="28"/>
            <w:szCs w:val="28"/>
          </w:rPr>
        </w:r>
        <w:r w:rsidRPr="00BE396A">
          <w:rPr>
            <w:noProof/>
            <w:webHidden/>
            <w:sz w:val="28"/>
            <w:szCs w:val="28"/>
          </w:rPr>
          <w:fldChar w:fldCharType="separate"/>
        </w:r>
        <w:r w:rsidR="002F7EEC">
          <w:rPr>
            <w:noProof/>
            <w:webHidden/>
            <w:sz w:val="28"/>
            <w:szCs w:val="28"/>
          </w:rPr>
          <w:t>2</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78" w:history="1">
        <w:r w:rsidR="00BE396A" w:rsidRPr="00BE396A">
          <w:rPr>
            <w:rStyle w:val="a8"/>
            <w:rFonts w:cs="Times New Roman" w:hint="eastAsia"/>
            <w:noProof/>
            <w:sz w:val="28"/>
            <w:szCs w:val="28"/>
          </w:rPr>
          <w:t>（二）形势要求</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_Toc454809978 \h </w:instrText>
        </w:r>
        <w:r w:rsidRPr="00BE396A">
          <w:rPr>
            <w:noProof/>
            <w:webHidden/>
            <w:sz w:val="28"/>
            <w:szCs w:val="28"/>
          </w:rPr>
        </w:r>
        <w:r w:rsidRPr="00BE396A">
          <w:rPr>
            <w:noProof/>
            <w:webHidden/>
            <w:sz w:val="28"/>
            <w:szCs w:val="28"/>
          </w:rPr>
          <w:fldChar w:fldCharType="separate"/>
        </w:r>
        <w:r w:rsidR="002F7EEC">
          <w:rPr>
            <w:noProof/>
            <w:webHidden/>
            <w:sz w:val="28"/>
            <w:szCs w:val="28"/>
          </w:rPr>
          <w:t>9</w:t>
        </w:r>
        <w:r w:rsidRPr="00BE396A">
          <w:rPr>
            <w:noProof/>
            <w:webHidden/>
            <w:sz w:val="28"/>
            <w:szCs w:val="28"/>
          </w:rPr>
          <w:fldChar w:fldCharType="end"/>
        </w:r>
      </w:hyperlink>
    </w:p>
    <w:p w:rsidR="00BE396A" w:rsidRPr="00BE396A" w:rsidRDefault="001720D6" w:rsidP="00BE396A">
      <w:pPr>
        <w:pStyle w:val="20"/>
        <w:tabs>
          <w:tab w:val="right" w:leader="dot" w:pos="8296"/>
        </w:tabs>
        <w:spacing w:line="480" w:lineRule="auto"/>
        <w:ind w:left="480"/>
        <w:rPr>
          <w:rFonts w:asciiTheme="minorHAnsi" w:hAnsiTheme="minorHAnsi"/>
          <w:noProof/>
          <w:sz w:val="28"/>
          <w:szCs w:val="28"/>
        </w:rPr>
      </w:pPr>
      <w:hyperlink w:anchor="_Toc454809979" w:history="1">
        <w:r w:rsidR="00BE396A" w:rsidRPr="00BE396A">
          <w:rPr>
            <w:rStyle w:val="a8"/>
            <w:rFonts w:cs="Times New Roman" w:hint="eastAsia"/>
            <w:b/>
            <w:noProof/>
            <w:sz w:val="28"/>
            <w:szCs w:val="28"/>
          </w:rPr>
          <w:t>二、总体思路</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_Toc454809979 \h </w:instrText>
        </w:r>
        <w:r w:rsidRPr="00BE396A">
          <w:rPr>
            <w:noProof/>
            <w:webHidden/>
            <w:sz w:val="28"/>
            <w:szCs w:val="28"/>
          </w:rPr>
        </w:r>
        <w:r w:rsidRPr="00BE396A">
          <w:rPr>
            <w:noProof/>
            <w:webHidden/>
            <w:sz w:val="28"/>
            <w:szCs w:val="28"/>
          </w:rPr>
          <w:fldChar w:fldCharType="separate"/>
        </w:r>
        <w:r w:rsidR="002F7EEC">
          <w:rPr>
            <w:noProof/>
            <w:webHidden/>
            <w:sz w:val="28"/>
            <w:szCs w:val="28"/>
          </w:rPr>
          <w:t>10</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80" w:history="1">
        <w:r w:rsidR="00BE396A" w:rsidRPr="00BE396A">
          <w:rPr>
            <w:rStyle w:val="a8"/>
            <w:rFonts w:cs="Times New Roman" w:hint="eastAsia"/>
            <w:noProof/>
            <w:sz w:val="28"/>
            <w:szCs w:val="28"/>
          </w:rPr>
          <w:t>（一）指导思想</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_Toc454809980 \h </w:instrText>
        </w:r>
        <w:r w:rsidRPr="00BE396A">
          <w:rPr>
            <w:noProof/>
            <w:webHidden/>
            <w:sz w:val="28"/>
            <w:szCs w:val="28"/>
          </w:rPr>
        </w:r>
        <w:r w:rsidRPr="00BE396A">
          <w:rPr>
            <w:noProof/>
            <w:webHidden/>
            <w:sz w:val="28"/>
            <w:szCs w:val="28"/>
          </w:rPr>
          <w:fldChar w:fldCharType="separate"/>
        </w:r>
        <w:r w:rsidR="002F7EEC">
          <w:rPr>
            <w:noProof/>
            <w:webHidden/>
            <w:sz w:val="28"/>
            <w:szCs w:val="28"/>
          </w:rPr>
          <w:t>10</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81" w:history="1">
        <w:r w:rsidR="00BE396A" w:rsidRPr="00BE396A">
          <w:rPr>
            <w:rStyle w:val="a8"/>
            <w:rFonts w:cs="Times New Roman" w:hint="eastAsia"/>
            <w:noProof/>
            <w:sz w:val="28"/>
            <w:szCs w:val="28"/>
          </w:rPr>
          <w:t>（二）基本原则</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_Toc454809981 \h </w:instrText>
        </w:r>
        <w:r w:rsidRPr="00BE396A">
          <w:rPr>
            <w:noProof/>
            <w:webHidden/>
            <w:sz w:val="28"/>
            <w:szCs w:val="28"/>
          </w:rPr>
        </w:r>
        <w:r w:rsidRPr="00BE396A">
          <w:rPr>
            <w:noProof/>
            <w:webHidden/>
            <w:sz w:val="28"/>
            <w:szCs w:val="28"/>
          </w:rPr>
          <w:fldChar w:fldCharType="separate"/>
        </w:r>
        <w:r w:rsidR="002F7EEC">
          <w:rPr>
            <w:noProof/>
            <w:webHidden/>
            <w:sz w:val="28"/>
            <w:szCs w:val="28"/>
          </w:rPr>
          <w:t>11</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82" w:history="1">
        <w:r w:rsidR="00BE396A" w:rsidRPr="00BE396A">
          <w:rPr>
            <w:rStyle w:val="a8"/>
            <w:rFonts w:cs="Times New Roman" w:hint="eastAsia"/>
            <w:noProof/>
            <w:sz w:val="28"/>
            <w:szCs w:val="28"/>
          </w:rPr>
          <w:t>（三）发展目标</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_Toc454809982 \h </w:instrText>
        </w:r>
        <w:r w:rsidRPr="00BE396A">
          <w:rPr>
            <w:noProof/>
            <w:webHidden/>
            <w:sz w:val="28"/>
            <w:szCs w:val="28"/>
          </w:rPr>
        </w:r>
        <w:r w:rsidRPr="00BE396A">
          <w:rPr>
            <w:noProof/>
            <w:webHidden/>
            <w:sz w:val="28"/>
            <w:szCs w:val="28"/>
          </w:rPr>
          <w:fldChar w:fldCharType="separate"/>
        </w:r>
        <w:r w:rsidR="002F7EEC">
          <w:rPr>
            <w:noProof/>
            <w:webHidden/>
            <w:sz w:val="28"/>
            <w:szCs w:val="28"/>
          </w:rPr>
          <w:t>12</w:t>
        </w:r>
        <w:r w:rsidRPr="00BE396A">
          <w:rPr>
            <w:noProof/>
            <w:webHidden/>
            <w:sz w:val="28"/>
            <w:szCs w:val="28"/>
          </w:rPr>
          <w:fldChar w:fldCharType="end"/>
        </w:r>
      </w:hyperlink>
    </w:p>
    <w:p w:rsidR="00BE396A" w:rsidRPr="00BE396A" w:rsidRDefault="001720D6" w:rsidP="00BE396A">
      <w:pPr>
        <w:pStyle w:val="20"/>
        <w:tabs>
          <w:tab w:val="right" w:leader="dot" w:pos="8296"/>
        </w:tabs>
        <w:spacing w:line="480" w:lineRule="auto"/>
        <w:ind w:left="480"/>
        <w:rPr>
          <w:rFonts w:asciiTheme="minorHAnsi" w:hAnsiTheme="minorHAnsi"/>
          <w:noProof/>
          <w:sz w:val="28"/>
          <w:szCs w:val="28"/>
        </w:rPr>
      </w:pPr>
      <w:hyperlink w:anchor="_Toc454809983" w:history="1">
        <w:r w:rsidR="00BE396A" w:rsidRPr="00BE396A">
          <w:rPr>
            <w:rStyle w:val="a8"/>
            <w:rFonts w:cs="Times New Roman" w:hint="eastAsia"/>
            <w:b/>
            <w:noProof/>
            <w:sz w:val="28"/>
            <w:szCs w:val="28"/>
          </w:rPr>
          <w:t>三、全面推进公交都市建设</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_Toc454809983 \h </w:instrText>
        </w:r>
        <w:r w:rsidRPr="00BE396A">
          <w:rPr>
            <w:noProof/>
            <w:webHidden/>
            <w:sz w:val="28"/>
            <w:szCs w:val="28"/>
          </w:rPr>
        </w:r>
        <w:r w:rsidRPr="00BE396A">
          <w:rPr>
            <w:noProof/>
            <w:webHidden/>
            <w:sz w:val="28"/>
            <w:szCs w:val="28"/>
          </w:rPr>
          <w:fldChar w:fldCharType="separate"/>
        </w:r>
        <w:r w:rsidR="002F7EEC">
          <w:rPr>
            <w:noProof/>
            <w:webHidden/>
            <w:sz w:val="28"/>
            <w:szCs w:val="28"/>
          </w:rPr>
          <w:t>12</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84" w:history="1">
        <w:r w:rsidR="00BE396A" w:rsidRPr="00BE396A">
          <w:rPr>
            <w:rStyle w:val="a8"/>
            <w:rFonts w:cs="Times New Roman" w:hint="eastAsia"/>
            <w:noProof/>
            <w:sz w:val="28"/>
            <w:szCs w:val="28"/>
          </w:rPr>
          <w:t>（一）建立公交引导兵团发展新机制</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_Toc454809984 \h </w:instrText>
        </w:r>
        <w:r w:rsidRPr="00BE396A">
          <w:rPr>
            <w:noProof/>
            <w:webHidden/>
            <w:sz w:val="28"/>
            <w:szCs w:val="28"/>
          </w:rPr>
        </w:r>
        <w:r w:rsidRPr="00BE396A">
          <w:rPr>
            <w:noProof/>
            <w:webHidden/>
            <w:sz w:val="28"/>
            <w:szCs w:val="28"/>
          </w:rPr>
          <w:fldChar w:fldCharType="separate"/>
        </w:r>
        <w:r w:rsidR="002F7EEC">
          <w:rPr>
            <w:noProof/>
            <w:webHidden/>
            <w:sz w:val="28"/>
            <w:szCs w:val="28"/>
          </w:rPr>
          <w:t>12</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85" w:history="1">
        <w:r w:rsidR="00BE396A" w:rsidRPr="00BE396A">
          <w:rPr>
            <w:rStyle w:val="a8"/>
            <w:rFonts w:cs="Times New Roman" w:hint="eastAsia"/>
            <w:noProof/>
            <w:sz w:val="28"/>
            <w:szCs w:val="28"/>
          </w:rPr>
          <w:t>（二）总结推广公交都市建设工作经验</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_Toc454809985 \h </w:instrText>
        </w:r>
        <w:r w:rsidRPr="00BE396A">
          <w:rPr>
            <w:noProof/>
            <w:webHidden/>
            <w:sz w:val="28"/>
            <w:szCs w:val="28"/>
          </w:rPr>
        </w:r>
        <w:r w:rsidRPr="00BE396A">
          <w:rPr>
            <w:noProof/>
            <w:webHidden/>
            <w:sz w:val="28"/>
            <w:szCs w:val="28"/>
          </w:rPr>
          <w:fldChar w:fldCharType="separate"/>
        </w:r>
        <w:r w:rsidR="002F7EEC">
          <w:rPr>
            <w:noProof/>
            <w:webHidden/>
            <w:sz w:val="28"/>
            <w:szCs w:val="28"/>
          </w:rPr>
          <w:t>13</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86" w:history="1">
        <w:r w:rsidR="00BE396A" w:rsidRPr="00BE396A">
          <w:rPr>
            <w:rStyle w:val="a8"/>
            <w:rFonts w:cs="Times New Roman" w:hint="eastAsia"/>
            <w:noProof/>
            <w:sz w:val="28"/>
            <w:szCs w:val="28"/>
          </w:rPr>
          <w:t>（三）丰富公交都市建设内涵</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_Toc454809986 \h </w:instrText>
        </w:r>
        <w:r w:rsidRPr="00BE396A">
          <w:rPr>
            <w:noProof/>
            <w:webHidden/>
            <w:sz w:val="28"/>
            <w:szCs w:val="28"/>
          </w:rPr>
        </w:r>
        <w:r w:rsidRPr="00BE396A">
          <w:rPr>
            <w:noProof/>
            <w:webHidden/>
            <w:sz w:val="28"/>
            <w:szCs w:val="28"/>
          </w:rPr>
          <w:fldChar w:fldCharType="separate"/>
        </w:r>
        <w:r w:rsidR="002F7EEC">
          <w:rPr>
            <w:noProof/>
            <w:webHidden/>
            <w:sz w:val="28"/>
            <w:szCs w:val="28"/>
          </w:rPr>
          <w:t>13</w:t>
        </w:r>
        <w:r w:rsidRPr="00BE396A">
          <w:rPr>
            <w:noProof/>
            <w:webHidden/>
            <w:sz w:val="28"/>
            <w:szCs w:val="28"/>
          </w:rPr>
          <w:fldChar w:fldCharType="end"/>
        </w:r>
      </w:hyperlink>
    </w:p>
    <w:p w:rsidR="00BE396A" w:rsidRPr="00BE396A" w:rsidRDefault="001720D6" w:rsidP="00BE396A">
      <w:pPr>
        <w:pStyle w:val="20"/>
        <w:tabs>
          <w:tab w:val="right" w:leader="dot" w:pos="8296"/>
        </w:tabs>
        <w:spacing w:line="480" w:lineRule="auto"/>
        <w:ind w:left="480"/>
        <w:rPr>
          <w:rFonts w:asciiTheme="minorHAnsi" w:hAnsiTheme="minorHAnsi"/>
          <w:noProof/>
          <w:sz w:val="28"/>
          <w:szCs w:val="28"/>
        </w:rPr>
      </w:pPr>
      <w:hyperlink w:anchor="_Toc454809987" w:history="1">
        <w:r w:rsidR="00BE396A" w:rsidRPr="00BE396A">
          <w:rPr>
            <w:rStyle w:val="a8"/>
            <w:rFonts w:hint="eastAsia"/>
            <w:b/>
            <w:noProof/>
            <w:sz w:val="28"/>
            <w:szCs w:val="28"/>
          </w:rPr>
          <w:t>四、全面提升兵团公交服务品质</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_Toc454809987 \h </w:instrText>
        </w:r>
        <w:r w:rsidRPr="00BE396A">
          <w:rPr>
            <w:noProof/>
            <w:webHidden/>
            <w:sz w:val="28"/>
            <w:szCs w:val="28"/>
          </w:rPr>
        </w:r>
        <w:r w:rsidRPr="00BE396A">
          <w:rPr>
            <w:noProof/>
            <w:webHidden/>
            <w:sz w:val="28"/>
            <w:szCs w:val="28"/>
          </w:rPr>
          <w:fldChar w:fldCharType="separate"/>
        </w:r>
        <w:r w:rsidR="002F7EEC">
          <w:rPr>
            <w:noProof/>
            <w:webHidden/>
            <w:sz w:val="28"/>
            <w:szCs w:val="28"/>
          </w:rPr>
          <w:t>14</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88" w:history="1">
        <w:r w:rsidR="00BE396A" w:rsidRPr="00BE396A">
          <w:rPr>
            <w:rStyle w:val="a8"/>
            <w:rFonts w:cs="Times New Roman" w:hint="eastAsia"/>
            <w:noProof/>
            <w:sz w:val="28"/>
            <w:szCs w:val="28"/>
          </w:rPr>
          <w:t>（一）提升公交出行便捷性</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_Toc454809988 \h </w:instrText>
        </w:r>
        <w:r w:rsidRPr="00BE396A">
          <w:rPr>
            <w:noProof/>
            <w:webHidden/>
            <w:sz w:val="28"/>
            <w:szCs w:val="28"/>
          </w:rPr>
        </w:r>
        <w:r w:rsidRPr="00BE396A">
          <w:rPr>
            <w:noProof/>
            <w:webHidden/>
            <w:sz w:val="28"/>
            <w:szCs w:val="28"/>
          </w:rPr>
          <w:fldChar w:fldCharType="separate"/>
        </w:r>
        <w:r w:rsidR="002F7EEC">
          <w:rPr>
            <w:noProof/>
            <w:webHidden/>
            <w:sz w:val="28"/>
            <w:szCs w:val="28"/>
          </w:rPr>
          <w:t>14</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89" w:history="1">
        <w:r w:rsidR="00BE396A" w:rsidRPr="00BE396A">
          <w:rPr>
            <w:rStyle w:val="a8"/>
            <w:rFonts w:cs="Times New Roman" w:hint="eastAsia"/>
            <w:noProof/>
            <w:sz w:val="28"/>
            <w:szCs w:val="28"/>
          </w:rPr>
          <w:t>（二）扩大公交服务广度和深度</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_Toc454809989 \h </w:instrText>
        </w:r>
        <w:r w:rsidRPr="00BE396A">
          <w:rPr>
            <w:noProof/>
            <w:webHidden/>
            <w:sz w:val="28"/>
            <w:szCs w:val="28"/>
          </w:rPr>
        </w:r>
        <w:r w:rsidRPr="00BE396A">
          <w:rPr>
            <w:noProof/>
            <w:webHidden/>
            <w:sz w:val="28"/>
            <w:szCs w:val="28"/>
          </w:rPr>
          <w:fldChar w:fldCharType="separate"/>
        </w:r>
        <w:r w:rsidR="002F7EEC">
          <w:rPr>
            <w:noProof/>
            <w:webHidden/>
            <w:sz w:val="28"/>
            <w:szCs w:val="28"/>
          </w:rPr>
          <w:t>14</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90" w:history="1">
        <w:r w:rsidR="00BE396A" w:rsidRPr="00BE396A">
          <w:rPr>
            <w:rStyle w:val="a8"/>
            <w:rFonts w:cs="Times New Roman" w:hint="eastAsia"/>
            <w:noProof/>
            <w:sz w:val="28"/>
            <w:szCs w:val="28"/>
          </w:rPr>
          <w:t>（三）完善多元化公交服务网络</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_Toc454809990 \h </w:instrText>
        </w:r>
        <w:r w:rsidRPr="00BE396A">
          <w:rPr>
            <w:noProof/>
            <w:webHidden/>
            <w:sz w:val="28"/>
            <w:szCs w:val="28"/>
          </w:rPr>
        </w:r>
        <w:r w:rsidRPr="00BE396A">
          <w:rPr>
            <w:noProof/>
            <w:webHidden/>
            <w:sz w:val="28"/>
            <w:szCs w:val="28"/>
          </w:rPr>
          <w:fldChar w:fldCharType="separate"/>
        </w:r>
        <w:r w:rsidR="002F7EEC">
          <w:rPr>
            <w:noProof/>
            <w:webHidden/>
            <w:sz w:val="28"/>
            <w:szCs w:val="28"/>
          </w:rPr>
          <w:t>15</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91" w:history="1">
        <w:r w:rsidR="00BE396A" w:rsidRPr="00BE396A">
          <w:rPr>
            <w:rStyle w:val="a8"/>
            <w:rFonts w:cs="Times New Roman" w:hint="eastAsia"/>
            <w:noProof/>
            <w:sz w:val="28"/>
            <w:szCs w:val="28"/>
          </w:rPr>
          <w:t>（四）提升公交出行便利性</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_Toc454809991 \h </w:instrText>
        </w:r>
        <w:r w:rsidRPr="00BE396A">
          <w:rPr>
            <w:noProof/>
            <w:webHidden/>
            <w:sz w:val="28"/>
            <w:szCs w:val="28"/>
          </w:rPr>
        </w:r>
        <w:r w:rsidRPr="00BE396A">
          <w:rPr>
            <w:noProof/>
            <w:webHidden/>
            <w:sz w:val="28"/>
            <w:szCs w:val="28"/>
          </w:rPr>
          <w:fldChar w:fldCharType="separate"/>
        </w:r>
        <w:r w:rsidR="002F7EEC">
          <w:rPr>
            <w:noProof/>
            <w:webHidden/>
            <w:sz w:val="28"/>
            <w:szCs w:val="28"/>
          </w:rPr>
          <w:t>16</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92" w:history="1">
        <w:r w:rsidR="00BE396A" w:rsidRPr="00BE396A">
          <w:rPr>
            <w:rStyle w:val="a8"/>
            <w:rFonts w:cs="Times New Roman" w:hint="eastAsia"/>
            <w:noProof/>
            <w:sz w:val="28"/>
            <w:szCs w:val="28"/>
          </w:rPr>
          <w:t>（五）提升公交出行舒适性</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_Toc454809992 \h </w:instrText>
        </w:r>
        <w:r w:rsidRPr="00BE396A">
          <w:rPr>
            <w:noProof/>
            <w:webHidden/>
            <w:sz w:val="28"/>
            <w:szCs w:val="28"/>
          </w:rPr>
        </w:r>
        <w:r w:rsidRPr="00BE396A">
          <w:rPr>
            <w:noProof/>
            <w:webHidden/>
            <w:sz w:val="28"/>
            <w:szCs w:val="28"/>
          </w:rPr>
          <w:fldChar w:fldCharType="separate"/>
        </w:r>
        <w:r w:rsidR="002F7EEC">
          <w:rPr>
            <w:noProof/>
            <w:webHidden/>
            <w:sz w:val="28"/>
            <w:szCs w:val="28"/>
          </w:rPr>
          <w:t>17</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93" w:history="1">
        <w:r w:rsidR="00BE396A" w:rsidRPr="00BE396A">
          <w:rPr>
            <w:rStyle w:val="a8"/>
            <w:rFonts w:cs="Times New Roman" w:hint="eastAsia"/>
            <w:noProof/>
            <w:sz w:val="28"/>
            <w:szCs w:val="28"/>
          </w:rPr>
          <w:t>（六）提升公交出行安全性</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_Toc454809993 \h </w:instrText>
        </w:r>
        <w:r w:rsidRPr="00BE396A">
          <w:rPr>
            <w:noProof/>
            <w:webHidden/>
            <w:sz w:val="28"/>
            <w:szCs w:val="28"/>
          </w:rPr>
        </w:r>
        <w:r w:rsidRPr="00BE396A">
          <w:rPr>
            <w:noProof/>
            <w:webHidden/>
            <w:sz w:val="28"/>
            <w:szCs w:val="28"/>
          </w:rPr>
          <w:fldChar w:fldCharType="separate"/>
        </w:r>
        <w:r w:rsidR="002F7EEC">
          <w:rPr>
            <w:noProof/>
            <w:webHidden/>
            <w:sz w:val="28"/>
            <w:szCs w:val="28"/>
          </w:rPr>
          <w:t>17</w:t>
        </w:r>
        <w:r w:rsidRPr="00BE396A">
          <w:rPr>
            <w:noProof/>
            <w:webHidden/>
            <w:sz w:val="28"/>
            <w:szCs w:val="28"/>
          </w:rPr>
          <w:fldChar w:fldCharType="end"/>
        </w:r>
      </w:hyperlink>
    </w:p>
    <w:p w:rsidR="00BE396A" w:rsidRPr="00BE396A" w:rsidRDefault="001720D6" w:rsidP="00BE396A">
      <w:pPr>
        <w:pStyle w:val="20"/>
        <w:tabs>
          <w:tab w:val="right" w:leader="dot" w:pos="8296"/>
        </w:tabs>
        <w:spacing w:line="480" w:lineRule="auto"/>
        <w:ind w:left="480"/>
        <w:rPr>
          <w:rFonts w:asciiTheme="minorHAnsi" w:hAnsiTheme="minorHAnsi"/>
          <w:noProof/>
          <w:sz w:val="28"/>
          <w:szCs w:val="28"/>
        </w:rPr>
      </w:pPr>
      <w:hyperlink w:anchor="_Toc454809994" w:history="1">
        <w:r w:rsidR="00BE396A" w:rsidRPr="00BE396A">
          <w:rPr>
            <w:rStyle w:val="a8"/>
            <w:rFonts w:cs="Times New Roman" w:hint="eastAsia"/>
            <w:b/>
            <w:noProof/>
            <w:sz w:val="28"/>
            <w:szCs w:val="28"/>
          </w:rPr>
          <w:t>五、深化兵团公交行业体制机制改革</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_Toc454809994 \h </w:instrText>
        </w:r>
        <w:r w:rsidRPr="00BE396A">
          <w:rPr>
            <w:noProof/>
            <w:webHidden/>
            <w:sz w:val="28"/>
            <w:szCs w:val="28"/>
          </w:rPr>
        </w:r>
        <w:r w:rsidRPr="00BE396A">
          <w:rPr>
            <w:noProof/>
            <w:webHidden/>
            <w:sz w:val="28"/>
            <w:szCs w:val="28"/>
          </w:rPr>
          <w:fldChar w:fldCharType="separate"/>
        </w:r>
        <w:r w:rsidR="002F7EEC">
          <w:rPr>
            <w:noProof/>
            <w:webHidden/>
            <w:sz w:val="28"/>
            <w:szCs w:val="28"/>
          </w:rPr>
          <w:t>18</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95" w:history="1">
        <w:r w:rsidR="00BE396A" w:rsidRPr="00BE396A">
          <w:rPr>
            <w:rStyle w:val="a8"/>
            <w:rFonts w:cs="Times New Roman" w:hint="eastAsia"/>
            <w:noProof/>
            <w:sz w:val="28"/>
            <w:szCs w:val="28"/>
          </w:rPr>
          <w:t>（一）推进兵团公交管理体制改革</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_Toc454809995 \h </w:instrText>
        </w:r>
        <w:r w:rsidRPr="00BE396A">
          <w:rPr>
            <w:noProof/>
            <w:webHidden/>
            <w:sz w:val="28"/>
            <w:szCs w:val="28"/>
          </w:rPr>
        </w:r>
        <w:r w:rsidRPr="00BE396A">
          <w:rPr>
            <w:noProof/>
            <w:webHidden/>
            <w:sz w:val="28"/>
            <w:szCs w:val="28"/>
          </w:rPr>
          <w:fldChar w:fldCharType="separate"/>
        </w:r>
        <w:r w:rsidR="002F7EEC">
          <w:rPr>
            <w:noProof/>
            <w:webHidden/>
            <w:sz w:val="28"/>
            <w:szCs w:val="28"/>
          </w:rPr>
          <w:t>18</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96" w:history="1">
        <w:r w:rsidR="00BE396A" w:rsidRPr="00BE396A">
          <w:rPr>
            <w:rStyle w:val="a8"/>
            <w:rFonts w:cs="Times New Roman" w:hint="eastAsia"/>
            <w:noProof/>
            <w:sz w:val="28"/>
            <w:szCs w:val="28"/>
          </w:rPr>
          <w:t>（二）推进兵团公交企业改革</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_Toc454809996 \h </w:instrText>
        </w:r>
        <w:r w:rsidRPr="00BE396A">
          <w:rPr>
            <w:noProof/>
            <w:webHidden/>
            <w:sz w:val="28"/>
            <w:szCs w:val="28"/>
          </w:rPr>
        </w:r>
        <w:r w:rsidRPr="00BE396A">
          <w:rPr>
            <w:noProof/>
            <w:webHidden/>
            <w:sz w:val="28"/>
            <w:szCs w:val="28"/>
          </w:rPr>
          <w:fldChar w:fldCharType="separate"/>
        </w:r>
        <w:r w:rsidR="002F7EEC">
          <w:rPr>
            <w:noProof/>
            <w:webHidden/>
            <w:sz w:val="28"/>
            <w:szCs w:val="28"/>
          </w:rPr>
          <w:t>18</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97" w:history="1">
        <w:r w:rsidR="00BE396A" w:rsidRPr="00BE396A">
          <w:rPr>
            <w:rStyle w:val="a8"/>
            <w:rFonts w:cs="Times New Roman" w:hint="eastAsia"/>
            <w:noProof/>
            <w:sz w:val="28"/>
            <w:szCs w:val="28"/>
          </w:rPr>
          <w:t>（三）建立政府购买兵团公交服务机制</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_Toc454809997 \h </w:instrText>
        </w:r>
        <w:r w:rsidRPr="00BE396A">
          <w:rPr>
            <w:noProof/>
            <w:webHidden/>
            <w:sz w:val="28"/>
            <w:szCs w:val="28"/>
          </w:rPr>
        </w:r>
        <w:r w:rsidRPr="00BE396A">
          <w:rPr>
            <w:noProof/>
            <w:webHidden/>
            <w:sz w:val="28"/>
            <w:szCs w:val="28"/>
          </w:rPr>
          <w:fldChar w:fldCharType="separate"/>
        </w:r>
        <w:r w:rsidR="002F7EEC">
          <w:rPr>
            <w:noProof/>
            <w:webHidden/>
            <w:sz w:val="28"/>
            <w:szCs w:val="28"/>
          </w:rPr>
          <w:t>19</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98" w:history="1">
        <w:r w:rsidR="00BE396A" w:rsidRPr="00BE396A">
          <w:rPr>
            <w:rStyle w:val="a8"/>
            <w:rFonts w:cs="Times New Roman" w:hint="eastAsia"/>
            <w:noProof/>
            <w:sz w:val="28"/>
            <w:szCs w:val="28"/>
          </w:rPr>
          <w:t>（四）建立票制票价制定和协调机制</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_Toc454809998 \h </w:instrText>
        </w:r>
        <w:r w:rsidRPr="00BE396A">
          <w:rPr>
            <w:noProof/>
            <w:webHidden/>
            <w:sz w:val="28"/>
            <w:szCs w:val="28"/>
          </w:rPr>
        </w:r>
        <w:r w:rsidRPr="00BE396A">
          <w:rPr>
            <w:noProof/>
            <w:webHidden/>
            <w:sz w:val="28"/>
            <w:szCs w:val="28"/>
          </w:rPr>
          <w:fldChar w:fldCharType="separate"/>
        </w:r>
        <w:r w:rsidR="002F7EEC">
          <w:rPr>
            <w:noProof/>
            <w:webHidden/>
            <w:sz w:val="28"/>
            <w:szCs w:val="28"/>
          </w:rPr>
          <w:t>19</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09999" w:history="1">
        <w:r w:rsidR="00BE396A" w:rsidRPr="00BE396A">
          <w:rPr>
            <w:rStyle w:val="a8"/>
            <w:rFonts w:cs="Times New Roman" w:hint="eastAsia"/>
            <w:noProof/>
            <w:sz w:val="28"/>
            <w:szCs w:val="28"/>
          </w:rPr>
          <w:t>（五）健全公共交通用地综合开发政策落实机制</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_Toc454809999 \h </w:instrText>
        </w:r>
        <w:r w:rsidRPr="00BE396A">
          <w:rPr>
            <w:noProof/>
            <w:webHidden/>
            <w:sz w:val="28"/>
            <w:szCs w:val="28"/>
          </w:rPr>
        </w:r>
        <w:r w:rsidRPr="00BE396A">
          <w:rPr>
            <w:noProof/>
            <w:webHidden/>
            <w:sz w:val="28"/>
            <w:szCs w:val="28"/>
          </w:rPr>
          <w:fldChar w:fldCharType="separate"/>
        </w:r>
        <w:r w:rsidR="002F7EEC">
          <w:rPr>
            <w:noProof/>
            <w:webHidden/>
            <w:sz w:val="28"/>
            <w:szCs w:val="28"/>
          </w:rPr>
          <w:t>20</w:t>
        </w:r>
        <w:r w:rsidRPr="00BE396A">
          <w:rPr>
            <w:noProof/>
            <w:webHidden/>
            <w:sz w:val="28"/>
            <w:szCs w:val="28"/>
          </w:rPr>
          <w:fldChar w:fldCharType="end"/>
        </w:r>
      </w:hyperlink>
    </w:p>
    <w:p w:rsidR="00BE396A" w:rsidRPr="00BE396A" w:rsidRDefault="001720D6" w:rsidP="00BE396A">
      <w:pPr>
        <w:pStyle w:val="20"/>
        <w:tabs>
          <w:tab w:val="right" w:leader="dot" w:pos="8296"/>
        </w:tabs>
        <w:spacing w:line="480" w:lineRule="auto"/>
        <w:ind w:left="480"/>
        <w:rPr>
          <w:rFonts w:asciiTheme="minorHAnsi" w:hAnsiTheme="minorHAnsi"/>
          <w:noProof/>
          <w:sz w:val="28"/>
          <w:szCs w:val="28"/>
        </w:rPr>
      </w:pPr>
      <w:hyperlink w:anchor="_Toc454810000" w:history="1">
        <w:r w:rsidR="00BE396A" w:rsidRPr="00BE396A">
          <w:rPr>
            <w:rStyle w:val="a8"/>
            <w:rFonts w:cs="Times New Roman" w:hint="eastAsia"/>
            <w:b/>
            <w:noProof/>
            <w:sz w:val="28"/>
            <w:szCs w:val="28"/>
          </w:rPr>
          <w:t>六、建设</w:t>
        </w:r>
        <w:r w:rsidR="00BE396A" w:rsidRPr="00BE396A">
          <w:rPr>
            <w:rStyle w:val="a8"/>
            <w:rFonts w:cs="Times New Roman"/>
            <w:b/>
            <w:noProof/>
            <w:sz w:val="28"/>
            <w:szCs w:val="28"/>
          </w:rPr>
          <w:t>“</w:t>
        </w:r>
        <w:r w:rsidR="00BE396A" w:rsidRPr="00BE396A">
          <w:rPr>
            <w:rStyle w:val="a8"/>
            <w:rFonts w:cs="Times New Roman" w:hint="eastAsia"/>
            <w:b/>
            <w:noProof/>
            <w:sz w:val="28"/>
            <w:szCs w:val="28"/>
          </w:rPr>
          <w:t>互联网</w:t>
        </w:r>
        <w:r w:rsidR="00BE396A" w:rsidRPr="00BE396A">
          <w:rPr>
            <w:rStyle w:val="a8"/>
            <w:rFonts w:cs="Times New Roman"/>
            <w:b/>
            <w:noProof/>
            <w:sz w:val="28"/>
            <w:szCs w:val="28"/>
          </w:rPr>
          <w:t>+”</w:t>
        </w:r>
        <w:r w:rsidR="00BE396A" w:rsidRPr="00BE396A">
          <w:rPr>
            <w:rStyle w:val="a8"/>
            <w:rFonts w:cs="Times New Roman" w:hint="eastAsia"/>
            <w:b/>
            <w:noProof/>
            <w:sz w:val="28"/>
            <w:szCs w:val="28"/>
          </w:rPr>
          <w:t>智能公交系统</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_Toc454810000 \h </w:instrText>
        </w:r>
        <w:r w:rsidRPr="00BE396A">
          <w:rPr>
            <w:noProof/>
            <w:webHidden/>
            <w:sz w:val="28"/>
            <w:szCs w:val="28"/>
          </w:rPr>
        </w:r>
        <w:r w:rsidRPr="00BE396A">
          <w:rPr>
            <w:noProof/>
            <w:webHidden/>
            <w:sz w:val="28"/>
            <w:szCs w:val="28"/>
          </w:rPr>
          <w:fldChar w:fldCharType="separate"/>
        </w:r>
        <w:r w:rsidR="002F7EEC">
          <w:rPr>
            <w:noProof/>
            <w:webHidden/>
            <w:sz w:val="28"/>
            <w:szCs w:val="28"/>
          </w:rPr>
          <w:t>20</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10001" w:history="1">
        <w:r w:rsidR="00BE396A" w:rsidRPr="00BE396A">
          <w:rPr>
            <w:rStyle w:val="a8"/>
            <w:rFonts w:cs="Times New Roman" w:hint="eastAsia"/>
            <w:noProof/>
            <w:sz w:val="28"/>
            <w:szCs w:val="28"/>
          </w:rPr>
          <w:t>（一）建设兵团公交智能化应用系统</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_Toc454810001 \h </w:instrText>
        </w:r>
        <w:r w:rsidRPr="00BE396A">
          <w:rPr>
            <w:noProof/>
            <w:webHidden/>
            <w:sz w:val="28"/>
            <w:szCs w:val="28"/>
          </w:rPr>
        </w:r>
        <w:r w:rsidRPr="00BE396A">
          <w:rPr>
            <w:noProof/>
            <w:webHidden/>
            <w:sz w:val="28"/>
            <w:szCs w:val="28"/>
          </w:rPr>
          <w:fldChar w:fldCharType="separate"/>
        </w:r>
        <w:r w:rsidR="002F7EEC">
          <w:rPr>
            <w:noProof/>
            <w:webHidden/>
            <w:sz w:val="28"/>
            <w:szCs w:val="28"/>
          </w:rPr>
          <w:t>20</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10002" w:history="1">
        <w:r w:rsidR="00BE396A" w:rsidRPr="00BE396A">
          <w:rPr>
            <w:rStyle w:val="a8"/>
            <w:rFonts w:cs="Times New Roman" w:hint="eastAsia"/>
            <w:noProof/>
            <w:sz w:val="28"/>
            <w:szCs w:val="28"/>
          </w:rPr>
          <w:t>（二）推进</w:t>
        </w:r>
        <w:r w:rsidR="00BE396A" w:rsidRPr="00BE396A">
          <w:rPr>
            <w:rStyle w:val="a8"/>
            <w:rFonts w:cs="Times New Roman"/>
            <w:noProof/>
            <w:sz w:val="28"/>
            <w:szCs w:val="28"/>
          </w:rPr>
          <w:t>“</w:t>
        </w:r>
        <w:r w:rsidR="00BE396A" w:rsidRPr="00BE396A">
          <w:rPr>
            <w:rStyle w:val="a8"/>
            <w:rFonts w:cs="Times New Roman" w:hint="eastAsia"/>
            <w:noProof/>
            <w:sz w:val="28"/>
            <w:szCs w:val="28"/>
          </w:rPr>
          <w:t>互联网</w:t>
        </w:r>
        <w:r w:rsidR="00BE396A" w:rsidRPr="00BE396A">
          <w:rPr>
            <w:rStyle w:val="a8"/>
            <w:rFonts w:cs="Times New Roman"/>
            <w:noProof/>
            <w:sz w:val="28"/>
            <w:szCs w:val="28"/>
          </w:rPr>
          <w:t>+</w:t>
        </w:r>
        <w:r w:rsidR="00BE396A" w:rsidRPr="00BE396A">
          <w:rPr>
            <w:rStyle w:val="a8"/>
            <w:rFonts w:cs="Times New Roman" w:hint="eastAsia"/>
            <w:noProof/>
            <w:sz w:val="28"/>
            <w:szCs w:val="28"/>
          </w:rPr>
          <w:t>兵团公交</w:t>
        </w:r>
        <w:r w:rsidR="00BE396A" w:rsidRPr="00BE396A">
          <w:rPr>
            <w:rStyle w:val="a8"/>
            <w:rFonts w:cs="Times New Roman"/>
            <w:noProof/>
            <w:sz w:val="28"/>
            <w:szCs w:val="28"/>
          </w:rPr>
          <w:t>”</w:t>
        </w:r>
        <w:r w:rsidR="00BE396A" w:rsidRPr="00BE396A">
          <w:rPr>
            <w:rStyle w:val="a8"/>
            <w:rFonts w:cs="Times New Roman" w:hint="eastAsia"/>
            <w:noProof/>
            <w:sz w:val="28"/>
            <w:szCs w:val="28"/>
          </w:rPr>
          <w:t>发展</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_Toc454810002 \h </w:instrText>
        </w:r>
        <w:r w:rsidRPr="00BE396A">
          <w:rPr>
            <w:noProof/>
            <w:webHidden/>
            <w:sz w:val="28"/>
            <w:szCs w:val="28"/>
          </w:rPr>
        </w:r>
        <w:r w:rsidRPr="00BE396A">
          <w:rPr>
            <w:noProof/>
            <w:webHidden/>
            <w:sz w:val="28"/>
            <w:szCs w:val="28"/>
          </w:rPr>
          <w:fldChar w:fldCharType="separate"/>
        </w:r>
        <w:r w:rsidR="002F7EEC">
          <w:rPr>
            <w:noProof/>
            <w:webHidden/>
            <w:sz w:val="28"/>
            <w:szCs w:val="28"/>
          </w:rPr>
          <w:t>20</w:t>
        </w:r>
        <w:r w:rsidRPr="00BE396A">
          <w:rPr>
            <w:noProof/>
            <w:webHidden/>
            <w:sz w:val="28"/>
            <w:szCs w:val="28"/>
          </w:rPr>
          <w:fldChar w:fldCharType="end"/>
        </w:r>
      </w:hyperlink>
    </w:p>
    <w:p w:rsidR="00BE396A" w:rsidRPr="00BE396A" w:rsidRDefault="001720D6" w:rsidP="00BE396A">
      <w:pPr>
        <w:pStyle w:val="20"/>
        <w:tabs>
          <w:tab w:val="right" w:leader="dot" w:pos="8296"/>
        </w:tabs>
        <w:spacing w:line="480" w:lineRule="auto"/>
        <w:ind w:left="480"/>
        <w:rPr>
          <w:rFonts w:asciiTheme="minorHAnsi" w:hAnsiTheme="minorHAnsi"/>
          <w:noProof/>
          <w:sz w:val="28"/>
          <w:szCs w:val="28"/>
        </w:rPr>
      </w:pPr>
      <w:hyperlink w:anchor="_Toc454810003" w:history="1">
        <w:r w:rsidR="00BE396A" w:rsidRPr="00BE396A">
          <w:rPr>
            <w:rStyle w:val="a8"/>
            <w:rFonts w:cs="Times New Roman" w:hint="eastAsia"/>
            <w:b/>
            <w:noProof/>
            <w:sz w:val="28"/>
            <w:szCs w:val="28"/>
          </w:rPr>
          <w:t>七、打造绿色出行交通网络</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_Toc454810003 \h </w:instrText>
        </w:r>
        <w:r w:rsidRPr="00BE396A">
          <w:rPr>
            <w:noProof/>
            <w:webHidden/>
            <w:sz w:val="28"/>
            <w:szCs w:val="28"/>
          </w:rPr>
        </w:r>
        <w:r w:rsidRPr="00BE396A">
          <w:rPr>
            <w:noProof/>
            <w:webHidden/>
            <w:sz w:val="28"/>
            <w:szCs w:val="28"/>
          </w:rPr>
          <w:fldChar w:fldCharType="separate"/>
        </w:r>
        <w:r w:rsidR="002F7EEC">
          <w:rPr>
            <w:noProof/>
            <w:webHidden/>
            <w:sz w:val="28"/>
            <w:szCs w:val="28"/>
          </w:rPr>
          <w:t>21</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10004" w:history="1">
        <w:r w:rsidR="00BE396A" w:rsidRPr="00BE396A">
          <w:rPr>
            <w:rStyle w:val="a8"/>
            <w:rFonts w:cs="Times New Roman" w:hint="eastAsia"/>
            <w:noProof/>
            <w:sz w:val="28"/>
            <w:szCs w:val="28"/>
          </w:rPr>
          <w:t>（一）合理选择交通疏导措施</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_Toc454810004 \h </w:instrText>
        </w:r>
        <w:r w:rsidRPr="00BE396A">
          <w:rPr>
            <w:noProof/>
            <w:webHidden/>
            <w:sz w:val="28"/>
            <w:szCs w:val="28"/>
          </w:rPr>
        </w:r>
        <w:r w:rsidRPr="00BE396A">
          <w:rPr>
            <w:noProof/>
            <w:webHidden/>
            <w:sz w:val="28"/>
            <w:szCs w:val="28"/>
          </w:rPr>
          <w:fldChar w:fldCharType="separate"/>
        </w:r>
        <w:r w:rsidR="002F7EEC">
          <w:rPr>
            <w:noProof/>
            <w:webHidden/>
            <w:sz w:val="28"/>
            <w:szCs w:val="28"/>
          </w:rPr>
          <w:t>21</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10005" w:history="1">
        <w:r w:rsidR="00BE396A" w:rsidRPr="00BE396A">
          <w:rPr>
            <w:rStyle w:val="a8"/>
            <w:rFonts w:cs="Times New Roman" w:hint="eastAsia"/>
            <w:noProof/>
            <w:sz w:val="28"/>
            <w:szCs w:val="28"/>
          </w:rPr>
          <w:t>（二）改善慢性交通出行环境</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_Toc454810005 \h </w:instrText>
        </w:r>
        <w:r w:rsidRPr="00BE396A">
          <w:rPr>
            <w:noProof/>
            <w:webHidden/>
            <w:sz w:val="28"/>
            <w:szCs w:val="28"/>
          </w:rPr>
        </w:r>
        <w:r w:rsidRPr="00BE396A">
          <w:rPr>
            <w:noProof/>
            <w:webHidden/>
            <w:sz w:val="28"/>
            <w:szCs w:val="28"/>
          </w:rPr>
          <w:fldChar w:fldCharType="separate"/>
        </w:r>
        <w:r w:rsidR="002F7EEC">
          <w:rPr>
            <w:noProof/>
            <w:webHidden/>
            <w:sz w:val="28"/>
            <w:szCs w:val="28"/>
          </w:rPr>
          <w:t>21</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10006" w:history="1">
        <w:r w:rsidR="00BE396A" w:rsidRPr="00BE396A">
          <w:rPr>
            <w:rStyle w:val="a8"/>
            <w:rFonts w:cs="Times New Roman" w:hint="eastAsia"/>
            <w:noProof/>
            <w:sz w:val="28"/>
            <w:szCs w:val="28"/>
          </w:rPr>
          <w:t>（三）加强兵团静态交通管理</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_Toc454810006 \h </w:instrText>
        </w:r>
        <w:r w:rsidRPr="00BE396A">
          <w:rPr>
            <w:noProof/>
            <w:webHidden/>
            <w:sz w:val="28"/>
            <w:szCs w:val="28"/>
          </w:rPr>
        </w:r>
        <w:r w:rsidRPr="00BE396A">
          <w:rPr>
            <w:noProof/>
            <w:webHidden/>
            <w:sz w:val="28"/>
            <w:szCs w:val="28"/>
          </w:rPr>
          <w:fldChar w:fldCharType="separate"/>
        </w:r>
        <w:r w:rsidR="002F7EEC">
          <w:rPr>
            <w:noProof/>
            <w:webHidden/>
            <w:sz w:val="28"/>
            <w:szCs w:val="28"/>
          </w:rPr>
          <w:t>22</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10007" w:history="1">
        <w:r w:rsidR="00BE396A" w:rsidRPr="00BE396A">
          <w:rPr>
            <w:rStyle w:val="a8"/>
            <w:rFonts w:cs="Times New Roman" w:hint="eastAsia"/>
            <w:noProof/>
            <w:sz w:val="28"/>
            <w:szCs w:val="28"/>
          </w:rPr>
          <w:t>（四）不断完善绿色出行基础设施建设</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_Toc454810007 \h </w:instrText>
        </w:r>
        <w:r w:rsidRPr="00BE396A">
          <w:rPr>
            <w:noProof/>
            <w:webHidden/>
            <w:sz w:val="28"/>
            <w:szCs w:val="28"/>
          </w:rPr>
        </w:r>
        <w:r w:rsidRPr="00BE396A">
          <w:rPr>
            <w:noProof/>
            <w:webHidden/>
            <w:sz w:val="28"/>
            <w:szCs w:val="28"/>
          </w:rPr>
          <w:fldChar w:fldCharType="separate"/>
        </w:r>
        <w:r w:rsidR="002F7EEC">
          <w:rPr>
            <w:noProof/>
            <w:webHidden/>
            <w:sz w:val="28"/>
            <w:szCs w:val="28"/>
          </w:rPr>
          <w:t>22</w:t>
        </w:r>
        <w:r w:rsidRPr="00BE396A">
          <w:rPr>
            <w:noProof/>
            <w:webHidden/>
            <w:sz w:val="28"/>
            <w:szCs w:val="28"/>
          </w:rPr>
          <w:fldChar w:fldCharType="end"/>
        </w:r>
      </w:hyperlink>
    </w:p>
    <w:p w:rsidR="00BE396A" w:rsidRPr="00BE396A" w:rsidRDefault="001720D6" w:rsidP="00BE396A">
      <w:pPr>
        <w:pStyle w:val="20"/>
        <w:tabs>
          <w:tab w:val="right" w:leader="dot" w:pos="8296"/>
        </w:tabs>
        <w:spacing w:line="480" w:lineRule="auto"/>
        <w:ind w:left="480"/>
        <w:rPr>
          <w:rFonts w:asciiTheme="minorHAnsi" w:hAnsiTheme="minorHAnsi"/>
          <w:noProof/>
          <w:sz w:val="28"/>
          <w:szCs w:val="28"/>
        </w:rPr>
      </w:pPr>
      <w:hyperlink w:anchor="_Toc454810008" w:history="1">
        <w:r w:rsidR="00BE396A" w:rsidRPr="00BE396A">
          <w:rPr>
            <w:rStyle w:val="a8"/>
            <w:rFonts w:cs="Times New Roman" w:hint="eastAsia"/>
            <w:b/>
            <w:noProof/>
            <w:sz w:val="28"/>
            <w:szCs w:val="28"/>
          </w:rPr>
          <w:t>八、保障措施</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_Toc454810008 \h </w:instrText>
        </w:r>
        <w:r w:rsidRPr="00BE396A">
          <w:rPr>
            <w:noProof/>
            <w:webHidden/>
            <w:sz w:val="28"/>
            <w:szCs w:val="28"/>
          </w:rPr>
        </w:r>
        <w:r w:rsidRPr="00BE396A">
          <w:rPr>
            <w:noProof/>
            <w:webHidden/>
            <w:sz w:val="28"/>
            <w:szCs w:val="28"/>
          </w:rPr>
          <w:fldChar w:fldCharType="separate"/>
        </w:r>
        <w:r w:rsidR="002F7EEC">
          <w:rPr>
            <w:noProof/>
            <w:webHidden/>
            <w:sz w:val="28"/>
            <w:szCs w:val="28"/>
          </w:rPr>
          <w:t>22</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10009" w:history="1">
        <w:r w:rsidR="00BE396A" w:rsidRPr="00BE396A">
          <w:rPr>
            <w:rStyle w:val="a8"/>
            <w:rFonts w:cs="Times New Roman" w:hint="eastAsia"/>
            <w:noProof/>
            <w:sz w:val="28"/>
            <w:szCs w:val="28"/>
          </w:rPr>
          <w:t>（一）加快兵团公交法规标准建设</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_Toc454810009 \h </w:instrText>
        </w:r>
        <w:r w:rsidRPr="00BE396A">
          <w:rPr>
            <w:noProof/>
            <w:webHidden/>
            <w:sz w:val="28"/>
            <w:szCs w:val="28"/>
          </w:rPr>
        </w:r>
        <w:r w:rsidRPr="00BE396A">
          <w:rPr>
            <w:noProof/>
            <w:webHidden/>
            <w:sz w:val="28"/>
            <w:szCs w:val="28"/>
          </w:rPr>
          <w:fldChar w:fldCharType="separate"/>
        </w:r>
        <w:r w:rsidR="002F7EEC">
          <w:rPr>
            <w:noProof/>
            <w:webHidden/>
            <w:sz w:val="28"/>
            <w:szCs w:val="28"/>
          </w:rPr>
          <w:t>22</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10010" w:history="1">
        <w:r w:rsidR="00BE396A" w:rsidRPr="00BE396A">
          <w:rPr>
            <w:rStyle w:val="a8"/>
            <w:rFonts w:cs="Times New Roman" w:hint="eastAsia"/>
            <w:noProof/>
            <w:sz w:val="28"/>
            <w:szCs w:val="28"/>
          </w:rPr>
          <w:t>（二）制定和落实兵团公交财税扶持政策</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_Toc454810010 \h </w:instrText>
        </w:r>
        <w:r w:rsidRPr="00BE396A">
          <w:rPr>
            <w:noProof/>
            <w:webHidden/>
            <w:sz w:val="28"/>
            <w:szCs w:val="28"/>
          </w:rPr>
        </w:r>
        <w:r w:rsidRPr="00BE396A">
          <w:rPr>
            <w:noProof/>
            <w:webHidden/>
            <w:sz w:val="28"/>
            <w:szCs w:val="28"/>
          </w:rPr>
          <w:fldChar w:fldCharType="separate"/>
        </w:r>
        <w:r w:rsidR="002F7EEC">
          <w:rPr>
            <w:noProof/>
            <w:webHidden/>
            <w:sz w:val="28"/>
            <w:szCs w:val="28"/>
          </w:rPr>
          <w:t>23</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10011" w:history="1">
        <w:r w:rsidR="00BE396A" w:rsidRPr="00BE396A">
          <w:rPr>
            <w:rStyle w:val="a8"/>
            <w:rFonts w:cs="Times New Roman" w:hint="eastAsia"/>
            <w:noProof/>
            <w:sz w:val="28"/>
            <w:szCs w:val="28"/>
          </w:rPr>
          <w:t>（三）优化兵团公交从业人员政策环境</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_Toc454810011 \h </w:instrText>
        </w:r>
        <w:r w:rsidRPr="00BE396A">
          <w:rPr>
            <w:noProof/>
            <w:webHidden/>
            <w:sz w:val="28"/>
            <w:szCs w:val="28"/>
          </w:rPr>
        </w:r>
        <w:r w:rsidRPr="00BE396A">
          <w:rPr>
            <w:noProof/>
            <w:webHidden/>
            <w:sz w:val="28"/>
            <w:szCs w:val="28"/>
          </w:rPr>
          <w:fldChar w:fldCharType="separate"/>
        </w:r>
        <w:r w:rsidR="002F7EEC">
          <w:rPr>
            <w:noProof/>
            <w:webHidden/>
            <w:sz w:val="28"/>
            <w:szCs w:val="28"/>
          </w:rPr>
          <w:t>23</w:t>
        </w:r>
        <w:r w:rsidRPr="00BE396A">
          <w:rPr>
            <w:noProof/>
            <w:webHidden/>
            <w:sz w:val="28"/>
            <w:szCs w:val="28"/>
          </w:rPr>
          <w:fldChar w:fldCharType="end"/>
        </w:r>
      </w:hyperlink>
    </w:p>
    <w:p w:rsidR="00BE396A" w:rsidRPr="00BE396A" w:rsidRDefault="001720D6" w:rsidP="00BE396A">
      <w:pPr>
        <w:pStyle w:val="30"/>
        <w:tabs>
          <w:tab w:val="right" w:leader="dot" w:pos="8296"/>
        </w:tabs>
        <w:spacing w:line="480" w:lineRule="auto"/>
        <w:ind w:left="960"/>
        <w:rPr>
          <w:rFonts w:asciiTheme="minorHAnsi" w:hAnsiTheme="minorHAnsi"/>
          <w:noProof/>
          <w:sz w:val="28"/>
          <w:szCs w:val="28"/>
        </w:rPr>
      </w:pPr>
      <w:hyperlink w:anchor="_Toc454810012" w:history="1">
        <w:r w:rsidR="00BE396A" w:rsidRPr="00BE396A">
          <w:rPr>
            <w:rStyle w:val="a8"/>
            <w:rFonts w:cs="Times New Roman" w:hint="eastAsia"/>
            <w:noProof/>
            <w:sz w:val="28"/>
            <w:szCs w:val="28"/>
          </w:rPr>
          <w:t>（四）协调各主管部门之间的合作关系</w:t>
        </w:r>
        <w:r w:rsidR="00BE396A" w:rsidRPr="00BE396A">
          <w:rPr>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_Toc454810012 \h </w:instrText>
        </w:r>
        <w:r w:rsidRPr="00BE396A">
          <w:rPr>
            <w:noProof/>
            <w:webHidden/>
            <w:sz w:val="28"/>
            <w:szCs w:val="28"/>
          </w:rPr>
        </w:r>
        <w:r w:rsidRPr="00BE396A">
          <w:rPr>
            <w:noProof/>
            <w:webHidden/>
            <w:sz w:val="28"/>
            <w:szCs w:val="28"/>
          </w:rPr>
          <w:fldChar w:fldCharType="separate"/>
        </w:r>
        <w:r w:rsidR="002F7EEC">
          <w:rPr>
            <w:noProof/>
            <w:webHidden/>
            <w:sz w:val="28"/>
            <w:szCs w:val="28"/>
          </w:rPr>
          <w:t>23</w:t>
        </w:r>
        <w:r w:rsidRPr="00BE396A">
          <w:rPr>
            <w:noProof/>
            <w:webHidden/>
            <w:sz w:val="28"/>
            <w:szCs w:val="28"/>
          </w:rPr>
          <w:fldChar w:fldCharType="end"/>
        </w:r>
      </w:hyperlink>
    </w:p>
    <w:p w:rsidR="00BE396A" w:rsidRPr="00BE396A" w:rsidRDefault="001720D6" w:rsidP="00BE396A">
      <w:pPr>
        <w:pStyle w:val="10"/>
        <w:tabs>
          <w:tab w:val="right" w:leader="dot" w:pos="8296"/>
        </w:tabs>
        <w:spacing w:line="480" w:lineRule="auto"/>
        <w:rPr>
          <w:rFonts w:asciiTheme="minorHAnsi" w:hAnsiTheme="minorHAnsi"/>
          <w:noProof/>
          <w:sz w:val="28"/>
          <w:szCs w:val="28"/>
        </w:rPr>
      </w:pPr>
      <w:hyperlink w:anchor="_Toc454810013" w:history="1">
        <w:r w:rsidR="00BE396A" w:rsidRPr="00BE396A">
          <w:rPr>
            <w:rStyle w:val="a8"/>
            <w:rFonts w:cs="Times New Roman" w:hint="eastAsia"/>
            <w:b/>
            <w:noProof/>
            <w:sz w:val="28"/>
            <w:szCs w:val="28"/>
          </w:rPr>
          <w:t>附件</w:t>
        </w:r>
        <w:r w:rsidR="00BE396A" w:rsidRPr="00BE396A">
          <w:rPr>
            <w:rStyle w:val="a8"/>
            <w:rFonts w:cs="Times New Roman"/>
            <w:b/>
            <w:noProof/>
            <w:sz w:val="28"/>
            <w:szCs w:val="28"/>
          </w:rPr>
          <w:t>1</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_Toc454810013 \h </w:instrText>
        </w:r>
        <w:r w:rsidRPr="00BE396A">
          <w:rPr>
            <w:noProof/>
            <w:webHidden/>
            <w:sz w:val="28"/>
            <w:szCs w:val="28"/>
          </w:rPr>
        </w:r>
        <w:r w:rsidRPr="00BE396A">
          <w:rPr>
            <w:noProof/>
            <w:webHidden/>
            <w:sz w:val="28"/>
            <w:szCs w:val="28"/>
          </w:rPr>
          <w:fldChar w:fldCharType="separate"/>
        </w:r>
        <w:r w:rsidR="002F7EEC">
          <w:rPr>
            <w:noProof/>
            <w:webHidden/>
            <w:sz w:val="28"/>
            <w:szCs w:val="28"/>
          </w:rPr>
          <w:t>24</w:t>
        </w:r>
        <w:r w:rsidRPr="00BE396A">
          <w:rPr>
            <w:noProof/>
            <w:webHidden/>
            <w:sz w:val="28"/>
            <w:szCs w:val="28"/>
          </w:rPr>
          <w:fldChar w:fldCharType="end"/>
        </w:r>
      </w:hyperlink>
    </w:p>
    <w:p w:rsidR="00BE396A" w:rsidRPr="00BE396A" w:rsidRDefault="001720D6" w:rsidP="00BE396A">
      <w:pPr>
        <w:pStyle w:val="10"/>
        <w:tabs>
          <w:tab w:val="right" w:leader="dot" w:pos="8296"/>
        </w:tabs>
        <w:spacing w:line="480" w:lineRule="auto"/>
        <w:rPr>
          <w:rFonts w:asciiTheme="minorHAnsi" w:hAnsiTheme="minorHAnsi"/>
          <w:noProof/>
          <w:sz w:val="28"/>
          <w:szCs w:val="28"/>
        </w:rPr>
      </w:pPr>
      <w:hyperlink w:anchor="_Toc454810014" w:history="1">
        <w:r w:rsidR="00BE396A" w:rsidRPr="00BE396A">
          <w:rPr>
            <w:rStyle w:val="a8"/>
            <w:rFonts w:hint="eastAsia"/>
            <w:b/>
            <w:noProof/>
            <w:sz w:val="28"/>
            <w:szCs w:val="28"/>
          </w:rPr>
          <w:t>附件</w:t>
        </w:r>
        <w:r w:rsidR="00BE396A" w:rsidRPr="00BE396A">
          <w:rPr>
            <w:rStyle w:val="a8"/>
            <w:b/>
            <w:noProof/>
            <w:sz w:val="28"/>
            <w:szCs w:val="28"/>
          </w:rPr>
          <w:t>2</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_Toc454810014 \h </w:instrText>
        </w:r>
        <w:r w:rsidRPr="00BE396A">
          <w:rPr>
            <w:noProof/>
            <w:webHidden/>
            <w:sz w:val="28"/>
            <w:szCs w:val="28"/>
          </w:rPr>
        </w:r>
        <w:r w:rsidRPr="00BE396A">
          <w:rPr>
            <w:noProof/>
            <w:webHidden/>
            <w:sz w:val="28"/>
            <w:szCs w:val="28"/>
          </w:rPr>
          <w:fldChar w:fldCharType="separate"/>
        </w:r>
        <w:r w:rsidR="002F7EEC">
          <w:rPr>
            <w:noProof/>
            <w:webHidden/>
            <w:sz w:val="28"/>
            <w:szCs w:val="28"/>
          </w:rPr>
          <w:t>27</w:t>
        </w:r>
        <w:r w:rsidRPr="00BE396A">
          <w:rPr>
            <w:noProof/>
            <w:webHidden/>
            <w:sz w:val="28"/>
            <w:szCs w:val="28"/>
          </w:rPr>
          <w:fldChar w:fldCharType="end"/>
        </w:r>
      </w:hyperlink>
    </w:p>
    <w:p w:rsidR="00BE396A" w:rsidRDefault="001720D6" w:rsidP="00BE396A">
      <w:pPr>
        <w:pStyle w:val="10"/>
        <w:tabs>
          <w:tab w:val="right" w:leader="dot" w:pos="8296"/>
        </w:tabs>
        <w:spacing w:line="480" w:lineRule="auto"/>
        <w:rPr>
          <w:rFonts w:asciiTheme="minorHAnsi" w:hAnsiTheme="minorHAnsi"/>
          <w:noProof/>
          <w:sz w:val="21"/>
        </w:rPr>
      </w:pPr>
      <w:hyperlink w:anchor="_Toc454810015" w:history="1">
        <w:r w:rsidR="00BE396A" w:rsidRPr="00BE396A">
          <w:rPr>
            <w:rStyle w:val="a8"/>
            <w:rFonts w:hint="eastAsia"/>
            <w:b/>
            <w:noProof/>
            <w:sz w:val="28"/>
            <w:szCs w:val="28"/>
          </w:rPr>
          <w:t>附件</w:t>
        </w:r>
        <w:r w:rsidR="00BE396A" w:rsidRPr="00BE396A">
          <w:rPr>
            <w:rStyle w:val="a8"/>
            <w:b/>
            <w:noProof/>
            <w:sz w:val="28"/>
            <w:szCs w:val="28"/>
          </w:rPr>
          <w:t>3</w:t>
        </w:r>
        <w:r w:rsidR="00BE396A" w:rsidRPr="00BE396A">
          <w:rPr>
            <w:b/>
            <w:noProof/>
            <w:webHidden/>
            <w:sz w:val="28"/>
            <w:szCs w:val="28"/>
          </w:rPr>
          <w:tab/>
        </w:r>
        <w:r w:rsidRPr="00BE396A">
          <w:rPr>
            <w:noProof/>
            <w:webHidden/>
            <w:sz w:val="28"/>
            <w:szCs w:val="28"/>
          </w:rPr>
          <w:fldChar w:fldCharType="begin"/>
        </w:r>
        <w:r w:rsidR="00BE396A" w:rsidRPr="00BE396A">
          <w:rPr>
            <w:noProof/>
            <w:webHidden/>
            <w:sz w:val="28"/>
            <w:szCs w:val="28"/>
          </w:rPr>
          <w:instrText xml:space="preserve"> PAGEREF _Toc454810015 \h </w:instrText>
        </w:r>
        <w:r w:rsidRPr="00BE396A">
          <w:rPr>
            <w:noProof/>
            <w:webHidden/>
            <w:sz w:val="28"/>
            <w:szCs w:val="28"/>
          </w:rPr>
        </w:r>
        <w:r w:rsidRPr="00BE396A">
          <w:rPr>
            <w:noProof/>
            <w:webHidden/>
            <w:sz w:val="28"/>
            <w:szCs w:val="28"/>
          </w:rPr>
          <w:fldChar w:fldCharType="separate"/>
        </w:r>
        <w:r w:rsidR="002F7EEC">
          <w:rPr>
            <w:noProof/>
            <w:webHidden/>
            <w:sz w:val="28"/>
            <w:szCs w:val="28"/>
          </w:rPr>
          <w:t>29</w:t>
        </w:r>
        <w:r w:rsidRPr="00BE396A">
          <w:rPr>
            <w:noProof/>
            <w:webHidden/>
            <w:sz w:val="28"/>
            <w:szCs w:val="28"/>
          </w:rPr>
          <w:fldChar w:fldCharType="end"/>
        </w:r>
      </w:hyperlink>
    </w:p>
    <w:p w:rsidR="00AA0CEC" w:rsidRDefault="001720D6">
      <w:pPr>
        <w:widowControl/>
        <w:spacing w:line="480" w:lineRule="auto"/>
        <w:jc w:val="center"/>
        <w:rPr>
          <w:rFonts w:eastAsia="黑体" w:cs="Times New Roman"/>
          <w:sz w:val="28"/>
          <w:szCs w:val="28"/>
        </w:rPr>
        <w:sectPr w:rsidR="00AA0CEC">
          <w:footerReference w:type="default" r:id="rId11"/>
          <w:pgSz w:w="11906" w:h="16838"/>
          <w:pgMar w:top="1440" w:right="1800" w:bottom="1440" w:left="1800" w:header="851" w:footer="992" w:gutter="0"/>
          <w:pgNumType w:fmt="upperRoman" w:start="1"/>
          <w:cols w:space="425"/>
          <w:docGrid w:type="lines" w:linePitch="312"/>
        </w:sectPr>
      </w:pPr>
      <w:r>
        <w:rPr>
          <w:rFonts w:eastAsia="黑体" w:cs="Times New Roman"/>
          <w:sz w:val="28"/>
          <w:szCs w:val="28"/>
        </w:rPr>
        <w:lastRenderedPageBreak/>
        <w:fldChar w:fldCharType="end"/>
      </w:r>
    </w:p>
    <w:p w:rsidR="00AA0CEC" w:rsidRDefault="00DA349F">
      <w:pPr>
        <w:pStyle w:val="1"/>
        <w:spacing w:line="480" w:lineRule="auto"/>
        <w:rPr>
          <w:rFonts w:cs="Times New Roman"/>
        </w:rPr>
      </w:pPr>
      <w:bookmarkStart w:id="0" w:name="_Toc454809975"/>
      <w:r>
        <w:rPr>
          <w:rFonts w:cs="Times New Roman"/>
        </w:rPr>
        <w:lastRenderedPageBreak/>
        <w:t>前</w:t>
      </w:r>
      <w:r>
        <w:rPr>
          <w:rFonts w:cs="Times New Roman"/>
        </w:rPr>
        <w:t xml:space="preserve"> </w:t>
      </w:r>
      <w:r>
        <w:rPr>
          <w:rFonts w:cs="Times New Roman"/>
        </w:rPr>
        <w:t>言</w:t>
      </w:r>
      <w:bookmarkEnd w:id="0"/>
    </w:p>
    <w:p w:rsidR="00AA0CEC" w:rsidRDefault="00DA349F">
      <w:pPr>
        <w:spacing w:line="480" w:lineRule="auto"/>
        <w:ind w:firstLineChars="200" w:firstLine="480"/>
        <w:rPr>
          <w:rFonts w:cs="Times New Roman"/>
          <w:szCs w:val="24"/>
        </w:rPr>
      </w:pPr>
      <w:r>
        <w:rPr>
          <w:rFonts w:cs="Times New Roman"/>
          <w:szCs w:val="24"/>
        </w:rPr>
        <w:t>城市公共交通是满足人民群众基本出行的社会公益性事业，是重大的民生工程，推进城市公共交通科学发展，对于促进经济社会可持续发展尤为重要。</w:t>
      </w:r>
      <w:r>
        <w:rPr>
          <w:rFonts w:cs="Times New Roman" w:hint="eastAsia"/>
          <w:szCs w:val="24"/>
        </w:rPr>
        <w:t>“</w:t>
      </w:r>
      <w:r>
        <w:rPr>
          <w:rFonts w:cs="Times New Roman"/>
          <w:szCs w:val="24"/>
        </w:rPr>
        <w:t>十</w:t>
      </w:r>
      <w:r>
        <w:rPr>
          <w:rFonts w:cs="Times New Roman" w:hint="eastAsia"/>
          <w:szCs w:val="24"/>
        </w:rPr>
        <w:t>三</w:t>
      </w:r>
      <w:r>
        <w:rPr>
          <w:rFonts w:cs="Times New Roman"/>
          <w:szCs w:val="24"/>
        </w:rPr>
        <w:t>五</w:t>
      </w:r>
      <w:r>
        <w:rPr>
          <w:rFonts w:cs="Times New Roman" w:hint="eastAsia"/>
          <w:szCs w:val="24"/>
        </w:rPr>
        <w:t>”</w:t>
      </w:r>
      <w:r>
        <w:rPr>
          <w:rFonts w:cs="Times New Roman"/>
          <w:szCs w:val="24"/>
        </w:rPr>
        <w:t>是兵团产业结构调整和经济转型发展、城乡和区域一体化进程、城镇化进程快速发展的关键时期，也是兵团进一步落实</w:t>
      </w:r>
      <w:r w:rsidRPr="00A15B12">
        <w:rPr>
          <w:rFonts w:cs="Times New Roman" w:hint="eastAsia"/>
          <w:b/>
          <w:szCs w:val="24"/>
        </w:rPr>
        <w:t>“</w:t>
      </w:r>
      <w:r w:rsidRPr="00A15B12">
        <w:rPr>
          <w:rFonts w:cs="Times New Roman"/>
          <w:b/>
          <w:szCs w:val="24"/>
        </w:rPr>
        <w:t>公交优先发展战略</w:t>
      </w:r>
      <w:r w:rsidRPr="00A15B12">
        <w:rPr>
          <w:rFonts w:cs="Times New Roman" w:hint="eastAsia"/>
          <w:b/>
          <w:szCs w:val="24"/>
        </w:rPr>
        <w:t>”</w:t>
      </w:r>
      <w:r>
        <w:rPr>
          <w:rFonts w:cs="Times New Roman"/>
          <w:szCs w:val="24"/>
        </w:rPr>
        <w:t>，实现兵团公共交通科学健康发展的战略机遇期。</w:t>
      </w:r>
      <w:r>
        <w:rPr>
          <w:rFonts w:cs="Times New Roman" w:hint="eastAsia"/>
          <w:szCs w:val="24"/>
        </w:rPr>
        <w:t xml:space="preserve">  </w:t>
      </w:r>
    </w:p>
    <w:p w:rsidR="00AA0CEC" w:rsidRDefault="00DA349F">
      <w:pPr>
        <w:adjustRightInd w:val="0"/>
        <w:snapToGrid w:val="0"/>
        <w:spacing w:line="480" w:lineRule="auto"/>
        <w:ind w:firstLineChars="200" w:firstLine="480"/>
        <w:rPr>
          <w:rFonts w:cs="Times New Roman"/>
          <w:szCs w:val="24"/>
        </w:rPr>
      </w:pPr>
      <w:r>
        <w:rPr>
          <w:rFonts w:cs="Times New Roman" w:hint="eastAsia"/>
          <w:szCs w:val="24"/>
        </w:rPr>
        <w:t>2012</w:t>
      </w:r>
      <w:r>
        <w:rPr>
          <w:rFonts w:cs="Times New Roman" w:hint="eastAsia"/>
          <w:szCs w:val="24"/>
        </w:rPr>
        <w:t>年</w:t>
      </w:r>
      <w:r>
        <w:rPr>
          <w:rFonts w:cs="Times New Roman" w:hint="eastAsia"/>
          <w:szCs w:val="24"/>
        </w:rPr>
        <w:t>2</w:t>
      </w:r>
      <w:r>
        <w:rPr>
          <w:rFonts w:cs="Times New Roman" w:hint="eastAsia"/>
          <w:szCs w:val="24"/>
        </w:rPr>
        <w:t>月</w:t>
      </w:r>
      <w:r>
        <w:rPr>
          <w:rFonts w:cs="Times New Roman" w:hint="eastAsia"/>
          <w:szCs w:val="24"/>
        </w:rPr>
        <w:t>29</w:t>
      </w:r>
      <w:r>
        <w:rPr>
          <w:rFonts w:cs="Times New Roman" w:hint="eastAsia"/>
          <w:szCs w:val="24"/>
        </w:rPr>
        <w:t>日，中共新疆生产建设兵团委员会下发了《关于加快推进兵团城镇化的若干意见》，指出推进兵团城镇化是中央在新的历史条件下发展壮大兵团、发挥兵团作用、促进新疆经济社会跨越式发展和长治久安做出的重大战略部署，是赋予兵团的一项重要任务，是正确处理</w:t>
      </w:r>
      <w:r>
        <w:rPr>
          <w:rFonts w:cs="Times New Roman" w:hint="eastAsia"/>
          <w:b/>
          <w:szCs w:val="24"/>
        </w:rPr>
        <w:t>“三大关系”</w:t>
      </w:r>
      <w:r>
        <w:rPr>
          <w:rFonts w:cs="Times New Roman" w:hint="eastAsia"/>
          <w:szCs w:val="24"/>
        </w:rPr>
        <w:t>、发挥兵团</w:t>
      </w:r>
      <w:r>
        <w:rPr>
          <w:rFonts w:cs="Times New Roman" w:hint="eastAsia"/>
          <w:b/>
          <w:szCs w:val="24"/>
        </w:rPr>
        <w:t>“三大作用”</w:t>
      </w:r>
      <w:r>
        <w:rPr>
          <w:rFonts w:cs="Times New Roman" w:hint="eastAsia"/>
          <w:szCs w:val="24"/>
        </w:rPr>
        <w:t>的内在要求，是增强兵团维稳戍边能力，提高职工群众生活水平、率先实现小康社会目标的重要手段，是完善新疆城镇体系、推进新疆新型城镇化发展的需要。</w:t>
      </w:r>
    </w:p>
    <w:p w:rsidR="00AA0CEC" w:rsidRPr="00A15B12" w:rsidRDefault="00DA349F" w:rsidP="00A15B12">
      <w:pPr>
        <w:adjustRightInd w:val="0"/>
        <w:snapToGrid w:val="0"/>
        <w:spacing w:line="480" w:lineRule="auto"/>
        <w:ind w:firstLineChars="200" w:firstLine="480"/>
        <w:rPr>
          <w:rFonts w:cs="Times New Roman"/>
          <w:b/>
          <w:szCs w:val="24"/>
        </w:rPr>
      </w:pPr>
      <w:r>
        <w:rPr>
          <w:rFonts w:cs="Times New Roman" w:hint="eastAsia"/>
          <w:szCs w:val="24"/>
        </w:rPr>
        <w:t>国务院</w:t>
      </w:r>
      <w:r>
        <w:rPr>
          <w:rFonts w:cs="Times New Roman" w:hint="eastAsia"/>
          <w:szCs w:val="24"/>
        </w:rPr>
        <w:t>2012</w:t>
      </w:r>
      <w:r>
        <w:rPr>
          <w:rFonts w:cs="Times New Roman" w:hint="eastAsia"/>
          <w:szCs w:val="24"/>
        </w:rPr>
        <w:t>年</w:t>
      </w:r>
      <w:r>
        <w:rPr>
          <w:rFonts w:cs="Times New Roman" w:hint="eastAsia"/>
          <w:szCs w:val="24"/>
        </w:rPr>
        <w:t>12</w:t>
      </w:r>
      <w:r>
        <w:rPr>
          <w:rFonts w:cs="Times New Roman" w:hint="eastAsia"/>
          <w:szCs w:val="24"/>
        </w:rPr>
        <w:t>月</w:t>
      </w:r>
      <w:r>
        <w:rPr>
          <w:rFonts w:cs="Times New Roman" w:hint="eastAsia"/>
          <w:szCs w:val="24"/>
        </w:rPr>
        <w:t>31</w:t>
      </w:r>
      <w:r>
        <w:rPr>
          <w:rFonts w:cs="Times New Roman" w:hint="eastAsia"/>
          <w:szCs w:val="24"/>
        </w:rPr>
        <w:t>日下发《关于城市优先发展公共交通的指导意见》，</w:t>
      </w:r>
      <w:r>
        <w:rPr>
          <w:rFonts w:cs="Times New Roman" w:hint="eastAsia"/>
          <w:b/>
          <w:szCs w:val="24"/>
        </w:rPr>
        <w:t>指出要树立优先发展理念，加快转变城市交通发展方式，突出城市公共交通的公益属性，将公共交通发展放在城市交通发展的首要位置，着力提升城市公共交通保障水平。</w:t>
      </w:r>
      <w:r>
        <w:rPr>
          <w:rFonts w:cs="Times New Roman" w:hint="eastAsia"/>
          <w:szCs w:val="24"/>
        </w:rPr>
        <w:t>2013</w:t>
      </w:r>
      <w:r>
        <w:rPr>
          <w:rFonts w:cs="Times New Roman" w:hint="eastAsia"/>
          <w:szCs w:val="24"/>
        </w:rPr>
        <w:t>年</w:t>
      </w:r>
      <w:r>
        <w:rPr>
          <w:rFonts w:cs="Times New Roman" w:hint="eastAsia"/>
          <w:szCs w:val="24"/>
        </w:rPr>
        <w:t>2</w:t>
      </w:r>
      <w:r>
        <w:rPr>
          <w:rFonts w:cs="Times New Roman" w:hint="eastAsia"/>
          <w:szCs w:val="24"/>
        </w:rPr>
        <w:t>月</w:t>
      </w:r>
      <w:r>
        <w:rPr>
          <w:rFonts w:cs="Times New Roman" w:hint="eastAsia"/>
          <w:szCs w:val="24"/>
        </w:rPr>
        <w:t>1</w:t>
      </w:r>
      <w:r>
        <w:rPr>
          <w:rFonts w:cs="Times New Roman" w:hint="eastAsia"/>
          <w:szCs w:val="24"/>
        </w:rPr>
        <w:t>日，针对国务院《指导意见》的贯彻落实，兵团主要领导分别做了批示，其中刘新奇司令员批示：“</w:t>
      </w:r>
      <w:r>
        <w:rPr>
          <w:rFonts w:cs="Times New Roman" w:hint="eastAsia"/>
          <w:b/>
          <w:szCs w:val="24"/>
        </w:rPr>
        <w:t>研究兵团已设城市</w:t>
      </w:r>
      <w:r w:rsidR="00FB094F">
        <w:rPr>
          <w:rFonts w:cs="Times New Roman" w:hint="eastAsia"/>
          <w:b/>
          <w:szCs w:val="24"/>
        </w:rPr>
        <w:t>公共交通发展</w:t>
      </w:r>
      <w:r>
        <w:rPr>
          <w:rFonts w:cs="Times New Roman" w:hint="eastAsia"/>
          <w:b/>
          <w:szCs w:val="24"/>
        </w:rPr>
        <w:t>同时，更注重研究团场城镇公共交通发展的问题。</w:t>
      </w:r>
      <w:r>
        <w:rPr>
          <w:rFonts w:cs="Times New Roman" w:hint="eastAsia"/>
          <w:szCs w:val="24"/>
        </w:rPr>
        <w:t>”</w:t>
      </w:r>
    </w:p>
    <w:p w:rsidR="00AA0CEC" w:rsidRDefault="00DA349F">
      <w:pPr>
        <w:autoSpaceDE w:val="0"/>
        <w:adjustRightInd w:val="0"/>
        <w:snapToGrid w:val="0"/>
        <w:spacing w:line="480" w:lineRule="auto"/>
        <w:ind w:firstLineChars="200" w:firstLine="480"/>
        <w:rPr>
          <w:rFonts w:cs="Times New Roman"/>
          <w:szCs w:val="24"/>
        </w:rPr>
      </w:pPr>
      <w:r>
        <w:rPr>
          <w:rFonts w:cs="Times New Roman"/>
          <w:szCs w:val="24"/>
        </w:rPr>
        <w:t>为贯彻落实党中央、国务院的指示精神，加快推进城市公共交通健康、有序发展，充分发挥公共交通改善城市公共交通状况、促进经济社会协调和可持续发</w:t>
      </w:r>
      <w:r>
        <w:rPr>
          <w:rFonts w:cs="Times New Roman"/>
          <w:szCs w:val="24"/>
        </w:rPr>
        <w:lastRenderedPageBreak/>
        <w:t>展的作用，特制定新疆生产建设兵团公共交通</w:t>
      </w:r>
      <w:r>
        <w:rPr>
          <w:rFonts w:cs="Times New Roman"/>
          <w:szCs w:val="24"/>
        </w:rPr>
        <w:t>“</w:t>
      </w:r>
      <w:r>
        <w:rPr>
          <w:rFonts w:cs="Times New Roman"/>
          <w:szCs w:val="24"/>
        </w:rPr>
        <w:t>十三五</w:t>
      </w:r>
      <w:r>
        <w:rPr>
          <w:rFonts w:cs="Times New Roman"/>
          <w:szCs w:val="24"/>
        </w:rPr>
        <w:t>”</w:t>
      </w:r>
      <w:r>
        <w:rPr>
          <w:rFonts w:cs="Times New Roman"/>
          <w:szCs w:val="24"/>
        </w:rPr>
        <w:t>发展规划纲要，作为指导新疆生产建设兵团公共交通发展的纲领性文件。</w:t>
      </w:r>
    </w:p>
    <w:p w:rsidR="00AA0CEC" w:rsidRDefault="00DA349F">
      <w:pPr>
        <w:pStyle w:val="2"/>
        <w:ind w:firstLine="602"/>
      </w:pPr>
      <w:bookmarkStart w:id="1" w:name="_Toc454809976"/>
      <w:r>
        <w:rPr>
          <w:rFonts w:hint="eastAsia"/>
        </w:rPr>
        <w:t>一、</w:t>
      </w:r>
      <w:r>
        <w:t>现状与形势</w:t>
      </w:r>
      <w:bookmarkEnd w:id="1"/>
    </w:p>
    <w:p w:rsidR="00AA0CEC" w:rsidRDefault="00DA349F">
      <w:pPr>
        <w:adjustRightInd w:val="0"/>
        <w:snapToGrid w:val="0"/>
        <w:spacing w:line="480" w:lineRule="auto"/>
        <w:ind w:firstLineChars="200" w:firstLine="480"/>
        <w:rPr>
          <w:rFonts w:cs="Times New Roman"/>
          <w:szCs w:val="24"/>
        </w:rPr>
      </w:pPr>
      <w:r>
        <w:rPr>
          <w:rFonts w:cs="Times New Roman" w:hint="eastAsia"/>
          <w:szCs w:val="24"/>
        </w:rPr>
        <w:t>随着国家西部大开发战略的深入实施，根据第二次中央新疆工作座谈会关于新疆进一步实现社会发展，进一步实现社会稳定和长治久安的战略部署，《兵团城镇体系规划》提出努力构建以</w:t>
      </w:r>
      <w:r w:rsidR="00A30951">
        <w:rPr>
          <w:rFonts w:cs="Times New Roman" w:hint="eastAsia"/>
          <w:szCs w:val="24"/>
        </w:rPr>
        <w:t>“</w:t>
      </w:r>
      <w:r w:rsidR="00A30951">
        <w:rPr>
          <w:rFonts w:cs="Times New Roman" w:hint="eastAsia"/>
          <w:b/>
          <w:szCs w:val="24"/>
        </w:rPr>
        <w:t>兵团城市、兵地共建城区、垦区中心城镇（拟建市）、一般城镇、中心连队居住区为发展节点</w:t>
      </w:r>
      <w:r w:rsidR="00A30951">
        <w:rPr>
          <w:rFonts w:cs="Times New Roman" w:hint="eastAsia"/>
          <w:szCs w:val="24"/>
        </w:rPr>
        <w:t>”</w:t>
      </w:r>
      <w:r>
        <w:rPr>
          <w:rFonts w:cs="Times New Roman" w:hint="eastAsia"/>
          <w:szCs w:val="24"/>
        </w:rPr>
        <w:t>的具有兵团特色的城镇体系目标。兵团公共交通必须面向兵团特色的城镇体系，公共交通将成为与职工群众生产生活密切相关的基础设施。</w:t>
      </w:r>
    </w:p>
    <w:p w:rsidR="00AA0CEC" w:rsidRDefault="00DA349F">
      <w:pPr>
        <w:autoSpaceDE w:val="0"/>
        <w:adjustRightInd w:val="0"/>
        <w:snapToGrid w:val="0"/>
        <w:spacing w:line="480" w:lineRule="auto"/>
        <w:ind w:firstLineChars="200" w:firstLine="480"/>
        <w:jc w:val="left"/>
        <w:rPr>
          <w:rFonts w:cs="Times New Roman"/>
          <w:szCs w:val="24"/>
        </w:rPr>
      </w:pPr>
      <w:r>
        <w:rPr>
          <w:rFonts w:cs="Times New Roman" w:hint="eastAsia"/>
          <w:szCs w:val="24"/>
        </w:rPr>
        <w:t>解决兵团公共交通发展问题，有利于发展兵团交通经济，提高兵团交通服务质量和兵团交通的整体水平；有利于兵团民生建设，使兵团职工和沿线各族群众出行方便，提高群众凝聚力，提升广大职工群众生活质量，满足绝大多数人民群众的出行需求；有利于兵团城镇建设，有效解决城镇交通拥堵、资源消耗和环境污染等矛盾；有利于兵团构建集约化、节约化交通，为建设和谐社会提供大力支持；有利于提高兵团整体形象；有利于兵团更好地履行社会职能。</w:t>
      </w:r>
    </w:p>
    <w:p w:rsidR="00AA0CEC" w:rsidRDefault="00DA349F">
      <w:pPr>
        <w:pStyle w:val="3"/>
        <w:spacing w:line="480" w:lineRule="auto"/>
        <w:ind w:firstLineChars="0"/>
        <w:rPr>
          <w:rFonts w:cs="Times New Roman"/>
        </w:rPr>
      </w:pPr>
      <w:bookmarkStart w:id="2" w:name="_Toc454809977"/>
      <w:r>
        <w:rPr>
          <w:rFonts w:cs="Times New Roman" w:hint="eastAsia"/>
        </w:rPr>
        <w:t>（一）</w:t>
      </w:r>
      <w:r>
        <w:rPr>
          <w:rFonts w:cs="Times New Roman"/>
        </w:rPr>
        <w:t>发展基础</w:t>
      </w:r>
      <w:bookmarkEnd w:id="2"/>
    </w:p>
    <w:p w:rsidR="00AA0CEC" w:rsidRDefault="00DA349F" w:rsidP="00A30951">
      <w:pPr>
        <w:spacing w:line="480" w:lineRule="auto"/>
        <w:ind w:firstLineChars="200" w:firstLine="482"/>
        <w:rPr>
          <w:rFonts w:cs="Times New Roman"/>
          <w:szCs w:val="24"/>
        </w:rPr>
      </w:pPr>
      <w:r w:rsidRPr="00A30951">
        <w:rPr>
          <w:rFonts w:cs="Times New Roman" w:hint="eastAsia"/>
          <w:b/>
          <w:szCs w:val="24"/>
        </w:rPr>
        <w:t>新疆生产建设兵团</w:t>
      </w:r>
      <w:r>
        <w:rPr>
          <w:rFonts w:cs="Times New Roman" w:hint="eastAsia"/>
          <w:szCs w:val="24"/>
        </w:rPr>
        <w:t>（</w:t>
      </w:r>
      <w:r>
        <w:rPr>
          <w:rFonts w:cs="Times New Roman" w:hint="eastAsia"/>
          <w:szCs w:val="24"/>
        </w:rPr>
        <w:t>The Xinjiang Production and Construction Corps</w:t>
      </w:r>
      <w:r>
        <w:rPr>
          <w:rFonts w:cs="Times New Roman" w:hint="eastAsia"/>
          <w:szCs w:val="24"/>
        </w:rPr>
        <w:t>）位于新疆维吾尔自治区，是中国现存的最后一个</w:t>
      </w:r>
      <w:hyperlink r:id="rId12" w:history="1">
        <w:r>
          <w:rPr>
            <w:rFonts w:cs="Times New Roman" w:hint="eastAsia"/>
            <w:szCs w:val="24"/>
          </w:rPr>
          <w:t>生产建设兵团</w:t>
        </w:r>
      </w:hyperlink>
      <w:r>
        <w:rPr>
          <w:rFonts w:cs="Times New Roman" w:hint="eastAsia"/>
          <w:szCs w:val="24"/>
        </w:rPr>
        <w:t>，是中国最大的兼具戍边</w:t>
      </w:r>
      <w:hyperlink r:id="rId13" w:history="1">
        <w:r>
          <w:rPr>
            <w:rFonts w:cs="Times New Roman" w:hint="eastAsia"/>
            <w:szCs w:val="24"/>
          </w:rPr>
          <w:t>屯垦</w:t>
        </w:r>
      </w:hyperlink>
      <w:r>
        <w:rPr>
          <w:rFonts w:cs="Times New Roman" w:hint="eastAsia"/>
          <w:szCs w:val="24"/>
        </w:rPr>
        <w:t>、实行“</w:t>
      </w:r>
      <w:hyperlink r:id="rId14" w:history="1">
        <w:r>
          <w:rPr>
            <w:rFonts w:cs="Times New Roman" w:hint="eastAsia"/>
            <w:szCs w:val="24"/>
          </w:rPr>
          <w:t>军</w:t>
        </w:r>
      </w:hyperlink>
      <w:r>
        <w:rPr>
          <w:rFonts w:cs="Times New Roman" w:hint="eastAsia"/>
          <w:szCs w:val="24"/>
        </w:rPr>
        <w:t>、</w:t>
      </w:r>
      <w:hyperlink r:id="rId15" w:history="1">
        <w:r>
          <w:rPr>
            <w:rFonts w:cs="Times New Roman" w:hint="eastAsia"/>
            <w:szCs w:val="24"/>
          </w:rPr>
          <w:t>政</w:t>
        </w:r>
      </w:hyperlink>
      <w:r>
        <w:rPr>
          <w:rFonts w:cs="Times New Roman" w:hint="eastAsia"/>
          <w:szCs w:val="24"/>
        </w:rPr>
        <w:t>、</w:t>
      </w:r>
      <w:hyperlink r:id="rId16" w:history="1">
        <w:r>
          <w:rPr>
            <w:rFonts w:cs="Times New Roman" w:hint="eastAsia"/>
            <w:szCs w:val="24"/>
          </w:rPr>
          <w:t>企</w:t>
        </w:r>
      </w:hyperlink>
      <w:r>
        <w:rPr>
          <w:rFonts w:cs="Times New Roman" w:hint="eastAsia"/>
          <w:szCs w:val="24"/>
        </w:rPr>
        <w:t>合一”的特殊行政区划单位，受中国中央政府和新疆维吾尔自治区政府的双重管辖，享有省级的权限，并在国民经济和社会发展方面实</w:t>
      </w:r>
      <w:r>
        <w:rPr>
          <w:rFonts w:cs="Times New Roman" w:hint="eastAsia"/>
          <w:szCs w:val="24"/>
        </w:rPr>
        <w:lastRenderedPageBreak/>
        <w:t>行国家计划单列。兵团的党务和税收事务由自治区分管，而行政、司法、经济、财政等则由中央政府管理并依照国家法律自行管理内部的行政、司法事务。在统计方面，兵团的人口和面积一般都计入</w:t>
      </w:r>
      <w:hyperlink r:id="rId17" w:history="1">
        <w:r>
          <w:rPr>
            <w:rFonts w:hint="eastAsia"/>
            <w:szCs w:val="24"/>
          </w:rPr>
          <w:t>地方政府</w:t>
        </w:r>
      </w:hyperlink>
      <w:r>
        <w:rPr>
          <w:rFonts w:cs="Times New Roman" w:hint="eastAsia"/>
          <w:szCs w:val="24"/>
        </w:rPr>
        <w:t>的统计中（兵团七个城市除外），但</w:t>
      </w:r>
      <w:hyperlink r:id="rId18" w:history="1">
        <w:r>
          <w:rPr>
            <w:rFonts w:hint="eastAsia"/>
            <w:szCs w:val="24"/>
          </w:rPr>
          <w:t>国民生产总值</w:t>
        </w:r>
      </w:hyperlink>
      <w:r>
        <w:rPr>
          <w:rFonts w:cs="Times New Roman" w:hint="eastAsia"/>
          <w:szCs w:val="24"/>
        </w:rPr>
        <w:t>等则单独列出，不计入自治区的数据。新疆生产建设兵团把发展经济作为当前的第一要务，利用其国家计划单列的特殊地位，积极参与全国市场的竞争。</w:t>
      </w:r>
    </w:p>
    <w:p w:rsidR="00AA0CEC" w:rsidRDefault="00DA349F">
      <w:pPr>
        <w:pStyle w:val="a7"/>
        <w:adjustRightInd w:val="0"/>
        <w:snapToGrid w:val="0"/>
        <w:spacing w:before="0" w:beforeAutospacing="0" w:after="0" w:afterAutospacing="0" w:line="480" w:lineRule="auto"/>
        <w:ind w:firstLineChars="200" w:firstLine="480"/>
        <w:rPr>
          <w:rFonts w:ascii="Times New Roman" w:eastAsiaTheme="minorEastAsia" w:hAnsi="Times New Roman" w:cs="Times New Roman"/>
          <w:kern w:val="2"/>
        </w:rPr>
      </w:pPr>
      <w:r>
        <w:rPr>
          <w:rFonts w:ascii="Times New Roman" w:eastAsiaTheme="minorEastAsia" w:hAnsi="Times New Roman" w:cs="Times New Roman" w:hint="eastAsia"/>
          <w:kern w:val="2"/>
        </w:rPr>
        <w:t>2013</w:t>
      </w:r>
      <w:r>
        <w:rPr>
          <w:rFonts w:ascii="Times New Roman" w:eastAsiaTheme="minorEastAsia" w:hAnsi="Times New Roman" w:cs="Times New Roman" w:hint="eastAsia"/>
          <w:kern w:val="2"/>
        </w:rPr>
        <w:t>年全年实现兵团生产总值</w:t>
      </w:r>
      <w:r>
        <w:rPr>
          <w:rFonts w:ascii="Times New Roman" w:eastAsiaTheme="minorEastAsia" w:hAnsi="Times New Roman" w:cs="Times New Roman" w:hint="eastAsia"/>
          <w:kern w:val="2"/>
        </w:rPr>
        <w:t>1480</w:t>
      </w:r>
      <w:r>
        <w:rPr>
          <w:rFonts w:ascii="Times New Roman" w:eastAsiaTheme="minorEastAsia" w:hAnsi="Times New Roman" w:cs="Times New Roman" w:hint="eastAsia"/>
          <w:kern w:val="2"/>
        </w:rPr>
        <w:t>亿元，比上年增长</w:t>
      </w:r>
      <w:r>
        <w:rPr>
          <w:rFonts w:ascii="Times New Roman" w:eastAsiaTheme="minorEastAsia" w:hAnsi="Times New Roman" w:cs="Times New Roman" w:hint="eastAsia"/>
          <w:kern w:val="2"/>
        </w:rPr>
        <w:t>18.0%</w:t>
      </w:r>
      <w:r>
        <w:rPr>
          <w:rFonts w:ascii="Times New Roman" w:eastAsiaTheme="minorEastAsia" w:hAnsi="Times New Roman" w:cs="Times New Roman" w:hint="eastAsia"/>
          <w:kern w:val="2"/>
        </w:rPr>
        <w:t>。其中，第一产业增加值</w:t>
      </w:r>
      <w:r>
        <w:rPr>
          <w:rFonts w:ascii="Times New Roman" w:eastAsiaTheme="minorEastAsia" w:hAnsi="Times New Roman" w:cs="Times New Roman" w:hint="eastAsia"/>
          <w:kern w:val="2"/>
        </w:rPr>
        <w:t>435</w:t>
      </w:r>
      <w:r>
        <w:rPr>
          <w:rFonts w:ascii="Times New Roman" w:eastAsiaTheme="minorEastAsia" w:hAnsi="Times New Roman" w:cs="Times New Roman" w:hint="eastAsia"/>
          <w:kern w:val="2"/>
        </w:rPr>
        <w:t>亿元，增长</w:t>
      </w:r>
      <w:r>
        <w:rPr>
          <w:rFonts w:ascii="Times New Roman" w:eastAsiaTheme="minorEastAsia" w:hAnsi="Times New Roman" w:cs="Times New Roman" w:hint="eastAsia"/>
          <w:kern w:val="2"/>
        </w:rPr>
        <w:t>7.5%</w:t>
      </w:r>
      <w:r>
        <w:rPr>
          <w:rFonts w:ascii="Times New Roman" w:eastAsiaTheme="minorEastAsia" w:hAnsi="Times New Roman" w:cs="Times New Roman" w:hint="eastAsia"/>
          <w:kern w:val="2"/>
        </w:rPr>
        <w:t>；第二产业增加值</w:t>
      </w:r>
      <w:r>
        <w:rPr>
          <w:rFonts w:ascii="Times New Roman" w:eastAsiaTheme="minorEastAsia" w:hAnsi="Times New Roman" w:cs="Times New Roman" w:hint="eastAsia"/>
          <w:kern w:val="2"/>
        </w:rPr>
        <w:t>623</w:t>
      </w:r>
      <w:r>
        <w:rPr>
          <w:rFonts w:ascii="Times New Roman" w:eastAsiaTheme="minorEastAsia" w:hAnsi="Times New Roman" w:cs="Times New Roman" w:hint="eastAsia"/>
          <w:kern w:val="2"/>
        </w:rPr>
        <w:t>亿元，增长</w:t>
      </w:r>
      <w:r>
        <w:rPr>
          <w:rFonts w:ascii="Times New Roman" w:eastAsiaTheme="minorEastAsia" w:hAnsi="Times New Roman" w:cs="Times New Roman" w:hint="eastAsia"/>
          <w:kern w:val="2"/>
        </w:rPr>
        <w:t>26.4%</w:t>
      </w:r>
      <w:r>
        <w:rPr>
          <w:rFonts w:ascii="Times New Roman" w:eastAsiaTheme="minorEastAsia" w:hAnsi="Times New Roman" w:cs="Times New Roman" w:hint="eastAsia"/>
          <w:kern w:val="2"/>
        </w:rPr>
        <w:t>；第三产业增加值</w:t>
      </w:r>
      <w:r>
        <w:rPr>
          <w:rFonts w:ascii="Times New Roman" w:eastAsiaTheme="minorEastAsia" w:hAnsi="Times New Roman" w:cs="Times New Roman" w:hint="eastAsia"/>
          <w:kern w:val="2"/>
        </w:rPr>
        <w:t>422</w:t>
      </w:r>
      <w:r>
        <w:rPr>
          <w:rFonts w:ascii="Times New Roman" w:eastAsiaTheme="minorEastAsia" w:hAnsi="Times New Roman" w:cs="Times New Roman" w:hint="eastAsia"/>
          <w:kern w:val="2"/>
        </w:rPr>
        <w:t>亿元，增长</w:t>
      </w:r>
      <w:r>
        <w:rPr>
          <w:rFonts w:ascii="Times New Roman" w:eastAsiaTheme="minorEastAsia" w:hAnsi="Times New Roman" w:cs="Times New Roman" w:hint="eastAsia"/>
          <w:kern w:val="2"/>
        </w:rPr>
        <w:t>17.0%</w:t>
      </w:r>
      <w:r>
        <w:rPr>
          <w:rFonts w:ascii="Times New Roman" w:eastAsiaTheme="minorEastAsia" w:hAnsi="Times New Roman" w:cs="Times New Roman" w:hint="eastAsia"/>
          <w:kern w:val="2"/>
        </w:rPr>
        <w:t>。三次产业占生产总值比重为</w:t>
      </w:r>
      <w:r>
        <w:rPr>
          <w:rFonts w:ascii="Times New Roman" w:eastAsiaTheme="minorEastAsia" w:hAnsi="Times New Roman" w:cs="Times New Roman" w:hint="eastAsia"/>
          <w:kern w:val="2"/>
        </w:rPr>
        <w:t>29.4:42.1:28.5</w:t>
      </w:r>
      <w:r>
        <w:rPr>
          <w:rFonts w:ascii="Times New Roman" w:eastAsiaTheme="minorEastAsia" w:hAnsi="Times New Roman" w:cs="Times New Roman" w:hint="eastAsia"/>
          <w:kern w:val="2"/>
        </w:rPr>
        <w:t>，三次产业对经济的贡献率分别为</w:t>
      </w:r>
      <w:r>
        <w:rPr>
          <w:rFonts w:ascii="Times New Roman" w:eastAsiaTheme="minorEastAsia" w:hAnsi="Times New Roman" w:cs="Times New Roman" w:hint="eastAsia"/>
          <w:kern w:val="2"/>
        </w:rPr>
        <w:t>12.8%</w:t>
      </w:r>
      <w:r>
        <w:rPr>
          <w:rFonts w:ascii="Times New Roman" w:eastAsiaTheme="minorEastAsia" w:hAnsi="Times New Roman" w:cs="Times New Roman" w:hint="eastAsia"/>
          <w:kern w:val="2"/>
        </w:rPr>
        <w:t>、</w:t>
      </w:r>
      <w:r>
        <w:rPr>
          <w:rFonts w:ascii="Times New Roman" w:eastAsiaTheme="minorEastAsia" w:hAnsi="Times New Roman" w:cs="Times New Roman" w:hint="eastAsia"/>
          <w:kern w:val="2"/>
        </w:rPr>
        <w:t>61.4%</w:t>
      </w:r>
      <w:r>
        <w:rPr>
          <w:rFonts w:ascii="Times New Roman" w:eastAsiaTheme="minorEastAsia" w:hAnsi="Times New Roman" w:cs="Times New Roman" w:hint="eastAsia"/>
          <w:kern w:val="2"/>
        </w:rPr>
        <w:t>和</w:t>
      </w:r>
      <w:r>
        <w:rPr>
          <w:rFonts w:ascii="Times New Roman" w:eastAsiaTheme="minorEastAsia" w:hAnsi="Times New Roman" w:cs="Times New Roman" w:hint="eastAsia"/>
          <w:kern w:val="2"/>
        </w:rPr>
        <w:t>25.8%</w:t>
      </w:r>
      <w:r>
        <w:rPr>
          <w:rFonts w:ascii="Times New Roman" w:eastAsiaTheme="minorEastAsia" w:hAnsi="Times New Roman" w:cs="Times New Roman" w:hint="eastAsia"/>
          <w:kern w:val="2"/>
        </w:rPr>
        <w:t>，分别拉动经济增长</w:t>
      </w:r>
      <w:r>
        <w:rPr>
          <w:rFonts w:ascii="Times New Roman" w:eastAsiaTheme="minorEastAsia" w:hAnsi="Times New Roman" w:cs="Times New Roman" w:hint="eastAsia"/>
          <w:kern w:val="2"/>
        </w:rPr>
        <w:t>2.3</w:t>
      </w:r>
      <w:r>
        <w:rPr>
          <w:rFonts w:ascii="Times New Roman" w:eastAsiaTheme="minorEastAsia" w:hAnsi="Times New Roman" w:cs="Times New Roman" w:hint="eastAsia"/>
          <w:kern w:val="2"/>
        </w:rPr>
        <w:t>、</w:t>
      </w:r>
      <w:r>
        <w:rPr>
          <w:rFonts w:ascii="Times New Roman" w:eastAsiaTheme="minorEastAsia" w:hAnsi="Times New Roman" w:cs="Times New Roman" w:hint="eastAsia"/>
          <w:kern w:val="2"/>
        </w:rPr>
        <w:t>11.1</w:t>
      </w:r>
      <w:r>
        <w:rPr>
          <w:rFonts w:ascii="Times New Roman" w:eastAsiaTheme="minorEastAsia" w:hAnsi="Times New Roman" w:cs="Times New Roman" w:hint="eastAsia"/>
          <w:kern w:val="2"/>
        </w:rPr>
        <w:t>和</w:t>
      </w:r>
      <w:r>
        <w:rPr>
          <w:rFonts w:ascii="Times New Roman" w:eastAsiaTheme="minorEastAsia" w:hAnsi="Times New Roman" w:cs="Times New Roman" w:hint="eastAsia"/>
          <w:kern w:val="2"/>
        </w:rPr>
        <w:t>4.6</w:t>
      </w:r>
      <w:r>
        <w:rPr>
          <w:rFonts w:ascii="Times New Roman" w:eastAsiaTheme="minorEastAsia" w:hAnsi="Times New Roman" w:cs="Times New Roman" w:hint="eastAsia"/>
          <w:kern w:val="2"/>
        </w:rPr>
        <w:t>个百分点。人均生产总值</w:t>
      </w:r>
      <w:r>
        <w:rPr>
          <w:rFonts w:ascii="Times New Roman" w:eastAsiaTheme="minorEastAsia" w:hAnsi="Times New Roman" w:cs="Times New Roman" w:hint="eastAsia"/>
          <w:kern w:val="2"/>
        </w:rPr>
        <w:t>55500</w:t>
      </w:r>
      <w:r>
        <w:rPr>
          <w:rFonts w:ascii="Times New Roman" w:eastAsiaTheme="minorEastAsia" w:hAnsi="Times New Roman" w:cs="Times New Roman" w:hint="eastAsia"/>
          <w:kern w:val="2"/>
        </w:rPr>
        <w:t>元，比上年增长</w:t>
      </w:r>
      <w:r>
        <w:rPr>
          <w:rFonts w:ascii="Times New Roman" w:eastAsiaTheme="minorEastAsia" w:hAnsi="Times New Roman" w:cs="Times New Roman" w:hint="eastAsia"/>
          <w:kern w:val="2"/>
        </w:rPr>
        <w:t>17.5%</w:t>
      </w:r>
      <w:r>
        <w:rPr>
          <w:rFonts w:ascii="Times New Roman" w:eastAsiaTheme="minorEastAsia" w:hAnsi="Times New Roman" w:cs="Times New Roman" w:hint="eastAsia"/>
          <w:kern w:val="2"/>
        </w:rPr>
        <w:t>。全年兵团国有控股农工建交商企业预计实现利润</w:t>
      </w:r>
      <w:r>
        <w:rPr>
          <w:rFonts w:ascii="Times New Roman" w:eastAsiaTheme="minorEastAsia" w:hAnsi="Times New Roman" w:cs="Times New Roman" w:hint="eastAsia"/>
          <w:kern w:val="2"/>
        </w:rPr>
        <w:t>63.66</w:t>
      </w:r>
      <w:r>
        <w:rPr>
          <w:rFonts w:ascii="Times New Roman" w:eastAsiaTheme="minorEastAsia" w:hAnsi="Times New Roman" w:cs="Times New Roman" w:hint="eastAsia"/>
          <w:kern w:val="2"/>
        </w:rPr>
        <w:t>亿元，比上年增加</w:t>
      </w:r>
      <w:r>
        <w:rPr>
          <w:rFonts w:ascii="Times New Roman" w:eastAsiaTheme="minorEastAsia" w:hAnsi="Times New Roman" w:cs="Times New Roman" w:hint="eastAsia"/>
          <w:kern w:val="2"/>
        </w:rPr>
        <w:t>7.64</w:t>
      </w:r>
      <w:r>
        <w:rPr>
          <w:rFonts w:ascii="Times New Roman" w:eastAsiaTheme="minorEastAsia" w:hAnsi="Times New Roman" w:cs="Times New Roman" w:hint="eastAsia"/>
          <w:kern w:val="2"/>
        </w:rPr>
        <w:t>亿元。</w:t>
      </w:r>
      <w:r>
        <w:rPr>
          <w:rFonts w:ascii="Times New Roman" w:eastAsiaTheme="minorEastAsia" w:hAnsi="Times New Roman" w:cs="Times New Roman" w:hint="eastAsia"/>
          <w:kern w:val="2"/>
        </w:rPr>
        <w:t>2013</w:t>
      </w:r>
      <w:r>
        <w:rPr>
          <w:rFonts w:ascii="Times New Roman" w:eastAsiaTheme="minorEastAsia" w:hAnsi="Times New Roman" w:cs="Times New Roman" w:hint="eastAsia"/>
          <w:kern w:val="2"/>
        </w:rPr>
        <w:t>年末兵团总人口</w:t>
      </w:r>
      <w:r>
        <w:rPr>
          <w:rFonts w:ascii="Times New Roman" w:eastAsiaTheme="minorEastAsia" w:hAnsi="Times New Roman" w:cs="Times New Roman" w:hint="eastAsia"/>
          <w:kern w:val="2"/>
        </w:rPr>
        <w:t>268</w:t>
      </w:r>
      <w:r>
        <w:rPr>
          <w:rFonts w:ascii="Times New Roman" w:eastAsiaTheme="minorEastAsia" w:hAnsi="Times New Roman" w:cs="Times New Roman" w:hint="eastAsia"/>
          <w:kern w:val="2"/>
        </w:rPr>
        <w:t>万人，比上年增长</w:t>
      </w:r>
      <w:r>
        <w:rPr>
          <w:rFonts w:ascii="Times New Roman" w:eastAsiaTheme="minorEastAsia" w:hAnsi="Times New Roman" w:cs="Times New Roman" w:hint="eastAsia"/>
          <w:kern w:val="2"/>
        </w:rPr>
        <w:t>1.3%</w:t>
      </w:r>
      <w:r>
        <w:rPr>
          <w:rFonts w:ascii="Times New Roman" w:eastAsiaTheme="minorEastAsia" w:hAnsi="Times New Roman" w:cs="Times New Roman" w:hint="eastAsia"/>
          <w:kern w:val="2"/>
        </w:rPr>
        <w:t>，其中，男性</w:t>
      </w:r>
      <w:r>
        <w:rPr>
          <w:rFonts w:ascii="Times New Roman" w:eastAsiaTheme="minorEastAsia" w:hAnsi="Times New Roman" w:cs="Times New Roman" w:hint="eastAsia"/>
          <w:kern w:val="2"/>
        </w:rPr>
        <w:t>140</w:t>
      </w:r>
      <w:r>
        <w:rPr>
          <w:rFonts w:ascii="Times New Roman" w:eastAsiaTheme="minorEastAsia" w:hAnsi="Times New Roman" w:cs="Times New Roman" w:hint="eastAsia"/>
          <w:kern w:val="2"/>
        </w:rPr>
        <w:t>万人，女性</w:t>
      </w:r>
      <w:r>
        <w:rPr>
          <w:rFonts w:ascii="Times New Roman" w:eastAsiaTheme="minorEastAsia" w:hAnsi="Times New Roman" w:cs="Times New Roman" w:hint="eastAsia"/>
          <w:kern w:val="2"/>
        </w:rPr>
        <w:t>128</w:t>
      </w:r>
      <w:r>
        <w:rPr>
          <w:rFonts w:ascii="Times New Roman" w:eastAsiaTheme="minorEastAsia" w:hAnsi="Times New Roman" w:cs="Times New Roman" w:hint="eastAsia"/>
          <w:kern w:val="2"/>
        </w:rPr>
        <w:t>万人。性别比为</w:t>
      </w:r>
      <w:r>
        <w:rPr>
          <w:rFonts w:ascii="Times New Roman" w:eastAsiaTheme="minorEastAsia" w:hAnsi="Times New Roman" w:cs="Times New Roman" w:hint="eastAsia"/>
          <w:kern w:val="2"/>
        </w:rPr>
        <w:t>109.4</w:t>
      </w:r>
      <w:r>
        <w:rPr>
          <w:rFonts w:ascii="Times New Roman" w:eastAsiaTheme="minorEastAsia" w:hAnsi="Times New Roman" w:cs="Times New Roman" w:hint="eastAsia"/>
          <w:kern w:val="2"/>
        </w:rPr>
        <w:t>（女</w:t>
      </w:r>
      <w:r>
        <w:rPr>
          <w:rFonts w:ascii="Times New Roman" w:eastAsiaTheme="minorEastAsia" w:hAnsi="Times New Roman" w:cs="Times New Roman" w:hint="eastAsia"/>
          <w:kern w:val="2"/>
        </w:rPr>
        <w:t>=100</w:t>
      </w:r>
      <w:r>
        <w:rPr>
          <w:rFonts w:ascii="Times New Roman" w:eastAsiaTheme="minorEastAsia" w:hAnsi="Times New Roman" w:cs="Times New Roman" w:hint="eastAsia"/>
          <w:kern w:val="2"/>
        </w:rPr>
        <w:t>）。全年出生人口</w:t>
      </w:r>
      <w:r>
        <w:rPr>
          <w:rFonts w:ascii="Times New Roman" w:eastAsiaTheme="minorEastAsia" w:hAnsi="Times New Roman" w:cs="Times New Roman" w:hint="eastAsia"/>
          <w:kern w:val="2"/>
        </w:rPr>
        <w:t>1.60</w:t>
      </w:r>
      <w:r>
        <w:rPr>
          <w:rFonts w:ascii="Times New Roman" w:eastAsiaTheme="minorEastAsia" w:hAnsi="Times New Roman" w:cs="Times New Roman" w:hint="eastAsia"/>
          <w:kern w:val="2"/>
        </w:rPr>
        <w:t>万人，出生率为</w:t>
      </w:r>
      <w:r>
        <w:rPr>
          <w:rFonts w:ascii="Times New Roman" w:eastAsiaTheme="minorEastAsia" w:hAnsi="Times New Roman" w:cs="Times New Roman" w:hint="eastAsia"/>
          <w:kern w:val="2"/>
        </w:rPr>
        <w:t>5.6</w:t>
      </w:r>
      <w:r>
        <w:rPr>
          <w:rFonts w:ascii="Times New Roman" w:eastAsiaTheme="minorEastAsia" w:hAnsi="Times New Roman" w:cs="Times New Roman" w:hint="eastAsia"/>
          <w:kern w:val="2"/>
        </w:rPr>
        <w:t>‰；死亡人口</w:t>
      </w:r>
      <w:r>
        <w:rPr>
          <w:rFonts w:ascii="Times New Roman" w:eastAsiaTheme="minorEastAsia" w:hAnsi="Times New Roman" w:cs="Times New Roman" w:hint="eastAsia"/>
          <w:kern w:val="2"/>
        </w:rPr>
        <w:t>1.45</w:t>
      </w:r>
      <w:r>
        <w:rPr>
          <w:rFonts w:ascii="Times New Roman" w:eastAsiaTheme="minorEastAsia" w:hAnsi="Times New Roman" w:cs="Times New Roman" w:hint="eastAsia"/>
          <w:kern w:val="2"/>
        </w:rPr>
        <w:t>万人，死亡率为</w:t>
      </w:r>
      <w:r>
        <w:rPr>
          <w:rFonts w:ascii="Times New Roman" w:eastAsiaTheme="minorEastAsia" w:hAnsi="Times New Roman" w:cs="Times New Roman" w:hint="eastAsia"/>
          <w:kern w:val="2"/>
        </w:rPr>
        <w:t>5.4</w:t>
      </w:r>
      <w:r>
        <w:rPr>
          <w:rFonts w:ascii="Times New Roman" w:eastAsiaTheme="minorEastAsia" w:hAnsi="Times New Roman" w:cs="Times New Roman" w:hint="eastAsia"/>
          <w:kern w:val="2"/>
        </w:rPr>
        <w:t>‰；人口自然增长率为</w:t>
      </w:r>
      <w:r>
        <w:rPr>
          <w:rFonts w:ascii="Times New Roman" w:eastAsiaTheme="minorEastAsia" w:hAnsi="Times New Roman" w:cs="Times New Roman" w:hint="eastAsia"/>
          <w:kern w:val="2"/>
        </w:rPr>
        <w:t>0.2</w:t>
      </w:r>
      <w:r>
        <w:rPr>
          <w:rFonts w:ascii="Times New Roman" w:eastAsiaTheme="minorEastAsia" w:hAnsi="Times New Roman" w:cs="Times New Roman" w:hint="eastAsia"/>
          <w:kern w:val="2"/>
        </w:rPr>
        <w:t>‰。</w:t>
      </w:r>
    </w:p>
    <w:p w:rsidR="00AA0CEC" w:rsidRDefault="00DA349F">
      <w:pPr>
        <w:pStyle w:val="a7"/>
        <w:adjustRightInd w:val="0"/>
        <w:snapToGrid w:val="0"/>
        <w:spacing w:before="0" w:beforeAutospacing="0" w:after="0" w:afterAutospacing="0" w:line="480" w:lineRule="auto"/>
        <w:ind w:firstLineChars="200" w:firstLine="480"/>
        <w:rPr>
          <w:rFonts w:ascii="Times New Roman" w:eastAsiaTheme="minorEastAsia" w:hAnsi="Times New Roman" w:cs="Times New Roman"/>
          <w:kern w:val="2"/>
        </w:rPr>
      </w:pPr>
      <w:r>
        <w:rPr>
          <w:rFonts w:ascii="Times New Roman" w:eastAsiaTheme="minorEastAsia" w:hAnsi="Times New Roman" w:cs="Times New Roman" w:hint="eastAsia"/>
          <w:kern w:val="2"/>
        </w:rPr>
        <w:t>全年兵团城镇居民人均可支配收入</w:t>
      </w:r>
      <w:r>
        <w:rPr>
          <w:rFonts w:ascii="Times New Roman" w:eastAsiaTheme="minorEastAsia" w:hAnsi="Times New Roman" w:cs="Times New Roman" w:hint="eastAsia"/>
          <w:kern w:val="2"/>
        </w:rPr>
        <w:t>23138</w:t>
      </w:r>
      <w:r>
        <w:rPr>
          <w:rFonts w:ascii="Times New Roman" w:eastAsiaTheme="minorEastAsia" w:hAnsi="Times New Roman" w:cs="Times New Roman" w:hint="eastAsia"/>
          <w:kern w:val="2"/>
        </w:rPr>
        <w:t>元，比上年增长</w:t>
      </w:r>
      <w:r>
        <w:rPr>
          <w:rFonts w:ascii="Times New Roman" w:eastAsiaTheme="minorEastAsia" w:hAnsi="Times New Roman" w:cs="Times New Roman" w:hint="eastAsia"/>
          <w:kern w:val="2"/>
        </w:rPr>
        <w:t>17.8%</w:t>
      </w:r>
      <w:r>
        <w:rPr>
          <w:rFonts w:ascii="Times New Roman" w:eastAsiaTheme="minorEastAsia" w:hAnsi="Times New Roman" w:cs="Times New Roman" w:hint="eastAsia"/>
          <w:kern w:val="2"/>
        </w:rPr>
        <w:t>，扣除价格因素，实际增长</w:t>
      </w:r>
      <w:r>
        <w:rPr>
          <w:rFonts w:ascii="Times New Roman" w:eastAsiaTheme="minorEastAsia" w:hAnsi="Times New Roman" w:cs="Times New Roman" w:hint="eastAsia"/>
          <w:kern w:val="2"/>
        </w:rPr>
        <w:t>13.5%</w:t>
      </w:r>
      <w:r>
        <w:rPr>
          <w:rFonts w:ascii="Times New Roman" w:eastAsiaTheme="minorEastAsia" w:hAnsi="Times New Roman" w:cs="Times New Roman" w:hint="eastAsia"/>
          <w:kern w:val="2"/>
        </w:rPr>
        <w:t>；团场农牧工家庭人均纯收入</w:t>
      </w:r>
      <w:r>
        <w:rPr>
          <w:rFonts w:ascii="Times New Roman" w:eastAsiaTheme="minorEastAsia" w:hAnsi="Times New Roman" w:cs="Times New Roman" w:hint="eastAsia"/>
          <w:kern w:val="2"/>
        </w:rPr>
        <w:t>14313</w:t>
      </w:r>
      <w:r>
        <w:rPr>
          <w:rFonts w:ascii="Times New Roman" w:eastAsiaTheme="minorEastAsia" w:hAnsi="Times New Roman" w:cs="Times New Roman" w:hint="eastAsia"/>
          <w:kern w:val="2"/>
        </w:rPr>
        <w:t>元，增长</w:t>
      </w:r>
      <w:r>
        <w:rPr>
          <w:rFonts w:ascii="Times New Roman" w:eastAsiaTheme="minorEastAsia" w:hAnsi="Times New Roman" w:cs="Times New Roman" w:hint="eastAsia"/>
          <w:kern w:val="2"/>
        </w:rPr>
        <w:t>18.2%</w:t>
      </w:r>
      <w:r>
        <w:rPr>
          <w:rFonts w:ascii="Times New Roman" w:eastAsiaTheme="minorEastAsia" w:hAnsi="Times New Roman" w:cs="Times New Roman" w:hint="eastAsia"/>
          <w:kern w:val="2"/>
        </w:rPr>
        <w:t>，扣除价格因素，实际增长</w:t>
      </w:r>
      <w:r>
        <w:rPr>
          <w:rFonts w:ascii="Times New Roman" w:eastAsiaTheme="minorEastAsia" w:hAnsi="Times New Roman" w:cs="Times New Roman" w:hint="eastAsia"/>
          <w:kern w:val="2"/>
        </w:rPr>
        <w:t>13.5%</w:t>
      </w:r>
      <w:r>
        <w:rPr>
          <w:rFonts w:ascii="Times New Roman" w:eastAsiaTheme="minorEastAsia" w:hAnsi="Times New Roman" w:cs="Times New Roman" w:hint="eastAsia"/>
          <w:kern w:val="2"/>
        </w:rPr>
        <w:t>。</w:t>
      </w:r>
    </w:p>
    <w:p w:rsidR="00AA0CEC" w:rsidRDefault="00DA349F">
      <w:pPr>
        <w:autoSpaceDE w:val="0"/>
        <w:adjustRightInd w:val="0"/>
        <w:snapToGrid w:val="0"/>
        <w:spacing w:line="480" w:lineRule="auto"/>
        <w:ind w:firstLineChars="200" w:firstLine="480"/>
        <w:rPr>
          <w:rFonts w:cs="Times New Roman"/>
          <w:szCs w:val="24"/>
        </w:rPr>
      </w:pPr>
      <w:r>
        <w:rPr>
          <w:rFonts w:cs="Times New Roman" w:hint="eastAsia"/>
          <w:szCs w:val="24"/>
        </w:rPr>
        <w:t>目前兵团共拥有</w:t>
      </w:r>
      <w:r>
        <w:rPr>
          <w:rFonts w:cs="Times New Roman" w:hint="eastAsia"/>
          <w:szCs w:val="24"/>
        </w:rPr>
        <w:t>7</w:t>
      </w:r>
      <w:r>
        <w:rPr>
          <w:rFonts w:cs="Times New Roman" w:hint="eastAsia"/>
          <w:szCs w:val="24"/>
        </w:rPr>
        <w:t>座城市，图木舒克市、阿拉尔市、北屯市的公共交通处</w:t>
      </w:r>
      <w:r w:rsidR="004D7081">
        <w:rPr>
          <w:rFonts w:cs="Times New Roman" w:hint="eastAsia"/>
          <w:szCs w:val="24"/>
        </w:rPr>
        <w:t>于发展的初级阶段，石河子市和五家渠市拥有较为成熟的公共交通运行和</w:t>
      </w:r>
      <w:r>
        <w:rPr>
          <w:rFonts w:cs="Times New Roman" w:hint="eastAsia"/>
          <w:szCs w:val="24"/>
        </w:rPr>
        <w:t>管理系统，其他城市公交领域均为空白（具体公交现状见附件</w:t>
      </w:r>
      <w:r>
        <w:rPr>
          <w:rFonts w:cs="Times New Roman" w:hint="eastAsia"/>
          <w:szCs w:val="24"/>
        </w:rPr>
        <w:t>2</w:t>
      </w:r>
      <w:r w:rsidR="004D7081">
        <w:rPr>
          <w:rFonts w:cs="Times New Roman" w:hint="eastAsia"/>
          <w:szCs w:val="24"/>
        </w:rPr>
        <w:t>的</w:t>
      </w:r>
      <w:r>
        <w:rPr>
          <w:rFonts w:cs="Times New Roman" w:hint="eastAsia"/>
          <w:szCs w:val="24"/>
        </w:rPr>
        <w:t>附表</w:t>
      </w:r>
      <w:r>
        <w:rPr>
          <w:rFonts w:cs="Times New Roman" w:hint="eastAsia"/>
          <w:szCs w:val="24"/>
        </w:rPr>
        <w:t>1</w:t>
      </w:r>
      <w:r>
        <w:rPr>
          <w:rFonts w:cs="Times New Roman" w:hint="eastAsia"/>
          <w:szCs w:val="24"/>
        </w:rPr>
        <w:t>所示）。</w:t>
      </w:r>
    </w:p>
    <w:p w:rsidR="00AA0CEC" w:rsidRDefault="00DA349F">
      <w:pPr>
        <w:spacing w:line="480" w:lineRule="auto"/>
        <w:ind w:firstLineChars="200" w:firstLine="480"/>
        <w:rPr>
          <w:rFonts w:cs="Times New Roman"/>
          <w:szCs w:val="24"/>
        </w:rPr>
      </w:pPr>
      <w:r>
        <w:rPr>
          <w:rFonts w:cs="Times New Roman"/>
          <w:szCs w:val="24"/>
        </w:rPr>
        <w:t>国家确立</w:t>
      </w:r>
      <w:r w:rsidR="004D7081">
        <w:rPr>
          <w:rFonts w:cs="Times New Roman" w:hint="eastAsia"/>
          <w:szCs w:val="24"/>
        </w:rPr>
        <w:t>“</w:t>
      </w:r>
      <w:r w:rsidR="004D7081">
        <w:rPr>
          <w:rFonts w:cs="Times New Roman"/>
          <w:szCs w:val="24"/>
        </w:rPr>
        <w:t>公交优先</w:t>
      </w:r>
      <w:r w:rsidR="004D7081">
        <w:rPr>
          <w:rFonts w:cs="Times New Roman" w:hint="eastAsia"/>
          <w:szCs w:val="24"/>
        </w:rPr>
        <w:t>”</w:t>
      </w:r>
      <w:r>
        <w:rPr>
          <w:rFonts w:cs="Times New Roman"/>
          <w:szCs w:val="24"/>
        </w:rPr>
        <w:t>发展战略</w:t>
      </w:r>
      <w:r>
        <w:rPr>
          <w:rFonts w:cs="Times New Roman" w:hint="eastAsia"/>
          <w:szCs w:val="24"/>
        </w:rPr>
        <w:t>以来</w:t>
      </w:r>
      <w:r>
        <w:rPr>
          <w:rFonts w:cs="Times New Roman"/>
          <w:szCs w:val="24"/>
        </w:rPr>
        <w:t>，</w:t>
      </w:r>
      <w:r>
        <w:rPr>
          <w:rFonts w:cs="Times New Roman" w:hint="eastAsia"/>
          <w:szCs w:val="24"/>
        </w:rPr>
        <w:t>新疆生产建设兵团贯彻实施优先发展</w:t>
      </w:r>
      <w:r>
        <w:rPr>
          <w:rFonts w:cs="Times New Roman" w:hint="eastAsia"/>
          <w:szCs w:val="24"/>
        </w:rPr>
        <w:lastRenderedPageBreak/>
        <w:t>城市公共交通的方针政策，不断加大了对兵团</w:t>
      </w:r>
      <w:r>
        <w:rPr>
          <w:rFonts w:cs="Times New Roman"/>
          <w:szCs w:val="24"/>
        </w:rPr>
        <w:t>公共交通</w:t>
      </w:r>
      <w:r>
        <w:rPr>
          <w:rFonts w:cs="Times New Roman" w:hint="eastAsia"/>
          <w:szCs w:val="24"/>
        </w:rPr>
        <w:t>发展的支持力度，取得了明显成效，</w:t>
      </w:r>
      <w:r>
        <w:rPr>
          <w:rFonts w:cs="Times New Roman"/>
          <w:szCs w:val="24"/>
        </w:rPr>
        <w:t>公共交通基础设施逐步改善、线网密度不断</w:t>
      </w:r>
      <w:r>
        <w:rPr>
          <w:rFonts w:cs="Times New Roman" w:hint="eastAsia"/>
          <w:szCs w:val="24"/>
        </w:rPr>
        <w:t>加大</w:t>
      </w:r>
      <w:r>
        <w:rPr>
          <w:rFonts w:cs="Times New Roman"/>
          <w:szCs w:val="24"/>
        </w:rPr>
        <w:t>、科技</w:t>
      </w:r>
      <w:r>
        <w:rPr>
          <w:rFonts w:cs="Times New Roman" w:hint="eastAsia"/>
          <w:szCs w:val="24"/>
        </w:rPr>
        <w:t>进步成效明显</w:t>
      </w:r>
      <w:r>
        <w:rPr>
          <w:rFonts w:cs="Times New Roman"/>
          <w:szCs w:val="24"/>
        </w:rPr>
        <w:t>、服务水平和保障能力稳步提高。</w:t>
      </w:r>
      <w:r>
        <w:rPr>
          <w:rFonts w:cs="Times New Roman" w:hint="eastAsia"/>
          <w:szCs w:val="24"/>
        </w:rPr>
        <w:t>兵团</w:t>
      </w:r>
      <w:r>
        <w:rPr>
          <w:rFonts w:cs="Times New Roman"/>
          <w:szCs w:val="24"/>
        </w:rPr>
        <w:t>公共交通为改善人民群众基本出行、推进</w:t>
      </w:r>
      <w:r>
        <w:rPr>
          <w:rFonts w:cs="Times New Roman" w:hint="eastAsia"/>
          <w:szCs w:val="24"/>
        </w:rPr>
        <w:t>兵团</w:t>
      </w:r>
      <w:r>
        <w:rPr>
          <w:rFonts w:cs="Times New Roman"/>
          <w:szCs w:val="24"/>
        </w:rPr>
        <w:t>经济社会发展、缓解</w:t>
      </w:r>
      <w:r>
        <w:rPr>
          <w:rFonts w:cs="Times New Roman" w:hint="eastAsia"/>
          <w:szCs w:val="24"/>
        </w:rPr>
        <w:t>兵团</w:t>
      </w:r>
      <w:r>
        <w:rPr>
          <w:rFonts w:cs="Times New Roman"/>
          <w:szCs w:val="24"/>
        </w:rPr>
        <w:t>交通拥堵</w:t>
      </w:r>
      <w:r>
        <w:rPr>
          <w:rFonts w:cs="Times New Roman" w:hint="eastAsia"/>
          <w:szCs w:val="24"/>
        </w:rPr>
        <w:t>等</w:t>
      </w:r>
      <w:r>
        <w:rPr>
          <w:rFonts w:cs="Times New Roman"/>
          <w:szCs w:val="24"/>
        </w:rPr>
        <w:t>发挥了重要的支撑作用。</w:t>
      </w:r>
    </w:p>
    <w:p w:rsidR="00AA0CEC" w:rsidRDefault="00DA349F" w:rsidP="000256A0">
      <w:pPr>
        <w:spacing w:line="480" w:lineRule="auto"/>
        <w:ind w:firstLineChars="250" w:firstLine="600"/>
        <w:rPr>
          <w:rFonts w:cs="Times New Roman"/>
        </w:rPr>
      </w:pPr>
      <w:r>
        <w:rPr>
          <w:rFonts w:eastAsia="楷体" w:cs="Times New Roman"/>
          <w:b/>
        </w:rPr>
        <w:t>1.</w:t>
      </w:r>
      <w:r>
        <w:rPr>
          <w:rFonts w:eastAsia="楷体" w:hAnsi="楷体" w:cs="Times New Roman"/>
          <w:b/>
        </w:rPr>
        <w:t>公交发展政策体系建设取得新突破。</w:t>
      </w:r>
      <w:r>
        <w:rPr>
          <w:rFonts w:cs="Times New Roman"/>
        </w:rPr>
        <w:t>2010</w:t>
      </w:r>
      <w:r>
        <w:rPr>
          <w:rFonts w:cs="Times New Roman"/>
        </w:rPr>
        <w:t>年</w:t>
      </w:r>
      <w:r>
        <w:rPr>
          <w:rFonts w:cs="Times New Roman"/>
        </w:rPr>
        <w:t>6</w:t>
      </w:r>
      <w:r>
        <w:rPr>
          <w:rFonts w:cs="Times New Roman"/>
        </w:rPr>
        <w:t>月，自治区明确城市客运（含城市公交、城镇出租客运）管理职责移交交通运输部门，自治区人民政府召开专题会议并下发了《关于自治区城市客运指导和管理职责移交交通运输部门的会议纪要》（新政阅〔</w:t>
      </w:r>
      <w:r>
        <w:rPr>
          <w:rFonts w:cs="Times New Roman"/>
        </w:rPr>
        <w:t>2010</w:t>
      </w:r>
      <w:r>
        <w:rPr>
          <w:rFonts w:cs="Times New Roman"/>
        </w:rPr>
        <w:t>〕</w:t>
      </w:r>
      <w:r>
        <w:rPr>
          <w:rFonts w:cs="Times New Roman"/>
        </w:rPr>
        <w:t>112</w:t>
      </w:r>
      <w:r>
        <w:rPr>
          <w:rFonts w:cs="Times New Roman"/>
        </w:rPr>
        <w:t>号），自治区交通厅随即下发了《关于做好城市客运指导和管理职责接交工作的通知》（新交明电〔</w:t>
      </w:r>
      <w:r>
        <w:rPr>
          <w:rFonts w:cs="Times New Roman"/>
        </w:rPr>
        <w:t>2010</w:t>
      </w:r>
      <w:r>
        <w:rPr>
          <w:rFonts w:cs="Times New Roman"/>
        </w:rPr>
        <w:t>〕</w:t>
      </w:r>
      <w:r>
        <w:rPr>
          <w:rFonts w:cs="Times New Roman"/>
        </w:rPr>
        <w:t>55</w:t>
      </w:r>
      <w:r>
        <w:rPr>
          <w:rFonts w:cs="Times New Roman"/>
        </w:rPr>
        <w:t>号），明确各级交通运输行政主管部门要按照自治区人民政府的要求，立即接管本辖区城市公交、出租汽车有关指导和管理工作。</w:t>
      </w:r>
      <w:r>
        <w:rPr>
          <w:rFonts w:cs="Times New Roman"/>
        </w:rPr>
        <w:t>2012</w:t>
      </w:r>
      <w:r>
        <w:rPr>
          <w:rFonts w:cs="Times New Roman"/>
        </w:rPr>
        <w:t>年</w:t>
      </w:r>
      <w:r>
        <w:rPr>
          <w:rFonts w:cs="Times New Roman"/>
        </w:rPr>
        <w:t>2</w:t>
      </w:r>
      <w:r>
        <w:rPr>
          <w:rFonts w:cs="Times New Roman"/>
        </w:rPr>
        <w:t>月</w:t>
      </w:r>
      <w:r>
        <w:rPr>
          <w:rFonts w:cs="Times New Roman"/>
        </w:rPr>
        <w:t>29</w:t>
      </w:r>
      <w:r>
        <w:rPr>
          <w:rFonts w:cs="Times New Roman"/>
        </w:rPr>
        <w:t>日，中共新疆生产建设兵团委员会下发了《关于加快推进兵团城镇化的若干意见》，兵团积极贯彻国务院文件精神</w:t>
      </w:r>
      <w:r>
        <w:rPr>
          <w:rFonts w:cs="Times New Roman" w:hint="eastAsia"/>
        </w:rPr>
        <w:t>及交通部实施意见</w:t>
      </w:r>
      <w:r>
        <w:rPr>
          <w:rFonts w:cs="Times New Roman"/>
        </w:rPr>
        <w:t>，出台了落实城市公共交通优先发展战略的实施意见及政策措施，城市公共交通优先发展由部门行为上升为政府行为，公交优先发展理念逐步得到广泛认同。</w:t>
      </w:r>
      <w:r>
        <w:rPr>
          <w:rFonts w:cs="Times New Roman"/>
        </w:rPr>
        <w:t>2012</w:t>
      </w:r>
      <w:r>
        <w:rPr>
          <w:rFonts w:cs="Times New Roman"/>
        </w:rPr>
        <w:t>年</w:t>
      </w:r>
      <w:r>
        <w:rPr>
          <w:rFonts w:cs="Times New Roman"/>
        </w:rPr>
        <w:t>12</w:t>
      </w:r>
      <w:r>
        <w:rPr>
          <w:rFonts w:cs="Times New Roman"/>
        </w:rPr>
        <w:t>月，国务院发布《国务院关于城市优先发展公共交通的指导意见》（国发〔</w:t>
      </w:r>
      <w:r>
        <w:rPr>
          <w:rFonts w:cs="Times New Roman"/>
        </w:rPr>
        <w:t>2012</w:t>
      </w:r>
      <w:r>
        <w:rPr>
          <w:rFonts w:cs="Times New Roman"/>
        </w:rPr>
        <w:t>〕</w:t>
      </w:r>
      <w:r>
        <w:rPr>
          <w:rFonts w:cs="Times New Roman"/>
        </w:rPr>
        <w:t>64</w:t>
      </w:r>
      <w:r>
        <w:rPr>
          <w:rFonts w:cs="Times New Roman"/>
        </w:rPr>
        <w:t>号），提出一系列优先发展公共交通的重大政策措施，标志着我国城市公交发展进入了新的历史时期。</w:t>
      </w:r>
      <w:r>
        <w:rPr>
          <w:rFonts w:cs="Times New Roman"/>
        </w:rPr>
        <w:t>2013</w:t>
      </w:r>
      <w:r>
        <w:rPr>
          <w:rFonts w:cs="Times New Roman"/>
        </w:rPr>
        <w:t>年，交通运输部出台《交通运输部关于贯彻落实</w:t>
      </w:r>
      <w:r>
        <w:rPr>
          <w:rFonts w:cs="Times New Roman"/>
        </w:rPr>
        <w:t>&lt;</w:t>
      </w:r>
      <w:r>
        <w:rPr>
          <w:rFonts w:cs="Times New Roman"/>
        </w:rPr>
        <w:t>国务院关于城市优先发展公共交通的指导意见</w:t>
      </w:r>
      <w:r>
        <w:rPr>
          <w:rFonts w:cs="Times New Roman"/>
        </w:rPr>
        <w:t>&gt;</w:t>
      </w:r>
      <w:r>
        <w:rPr>
          <w:rFonts w:cs="Times New Roman"/>
        </w:rPr>
        <w:t>的实施意见》（交运〔</w:t>
      </w:r>
      <w:r>
        <w:rPr>
          <w:rFonts w:cs="Times New Roman"/>
        </w:rPr>
        <w:t>2013</w:t>
      </w:r>
      <w:r>
        <w:rPr>
          <w:rFonts w:cs="Times New Roman"/>
        </w:rPr>
        <w:t>〕</w:t>
      </w:r>
      <w:r>
        <w:rPr>
          <w:rFonts w:cs="Times New Roman"/>
        </w:rPr>
        <w:t>368</w:t>
      </w:r>
      <w:r>
        <w:rPr>
          <w:rFonts w:cs="Times New Roman"/>
        </w:rPr>
        <w:t>号），明确了落实城市公交优先发展战略的具体举措。</w:t>
      </w:r>
    </w:p>
    <w:p w:rsidR="00AA0CEC" w:rsidRDefault="00DA349F" w:rsidP="000256A0">
      <w:pPr>
        <w:spacing w:line="480" w:lineRule="auto"/>
        <w:ind w:firstLineChars="200" w:firstLine="480"/>
        <w:rPr>
          <w:rFonts w:cs="Times New Roman"/>
        </w:rPr>
      </w:pPr>
      <w:r>
        <w:rPr>
          <w:rFonts w:eastAsia="楷体" w:cs="Times New Roman"/>
          <w:b/>
        </w:rPr>
        <w:t>2.</w:t>
      </w:r>
      <w:r>
        <w:rPr>
          <w:rFonts w:eastAsia="楷体" w:hAnsi="楷体" w:cs="Times New Roman"/>
          <w:b/>
        </w:rPr>
        <w:t>公交服务保障能力再上新台阶。</w:t>
      </w:r>
      <w:r>
        <w:rPr>
          <w:rFonts w:cs="Times New Roman"/>
        </w:rPr>
        <w:t>兵团公共交通起步晚，最早的兵团公交系统于</w:t>
      </w:r>
      <w:r>
        <w:rPr>
          <w:rFonts w:cs="Times New Roman"/>
        </w:rPr>
        <w:t>1983</w:t>
      </w:r>
      <w:r>
        <w:rPr>
          <w:rFonts w:cs="Times New Roman"/>
        </w:rPr>
        <w:t>年建立于石河子市，经过</w:t>
      </w:r>
      <w:r>
        <w:rPr>
          <w:rFonts w:cs="Times New Roman"/>
        </w:rPr>
        <w:t>31</w:t>
      </w:r>
      <w:r>
        <w:rPr>
          <w:rFonts w:cs="Times New Roman"/>
        </w:rPr>
        <w:t>年的发展，从城市公交到团场班线，已形</w:t>
      </w:r>
      <w:r>
        <w:rPr>
          <w:rFonts w:cs="Times New Roman"/>
        </w:rPr>
        <w:lastRenderedPageBreak/>
        <w:t>成一定的规模，并有自己的管理模式</w:t>
      </w:r>
      <w:r>
        <w:rPr>
          <w:rFonts w:cs="Times New Roman" w:hint="eastAsia"/>
        </w:rPr>
        <w:t>。</w:t>
      </w:r>
      <w:r>
        <w:rPr>
          <w:rFonts w:cs="Times New Roman"/>
        </w:rPr>
        <w:t>截止</w:t>
      </w:r>
      <w:r>
        <w:rPr>
          <w:rFonts w:cs="Times New Roman"/>
        </w:rPr>
        <w:t>2013</w:t>
      </w:r>
      <w:r>
        <w:rPr>
          <w:rFonts w:cs="Times New Roman"/>
        </w:rPr>
        <w:t>年底，兵团拥有各级客运站</w:t>
      </w:r>
      <w:r>
        <w:rPr>
          <w:rFonts w:cs="Times New Roman"/>
        </w:rPr>
        <w:t>369</w:t>
      </w:r>
      <w:r>
        <w:rPr>
          <w:rFonts w:cs="Times New Roman"/>
        </w:rPr>
        <w:t>座，共有</w:t>
      </w:r>
      <w:r>
        <w:rPr>
          <w:rFonts w:cs="Times New Roman"/>
        </w:rPr>
        <w:t>1389</w:t>
      </w:r>
      <w:r>
        <w:rPr>
          <w:rFonts w:cs="Times New Roman"/>
        </w:rPr>
        <w:t>辆运营公共汽车，运营线路</w:t>
      </w:r>
      <w:r>
        <w:rPr>
          <w:rFonts w:cs="Times New Roman"/>
        </w:rPr>
        <w:t>515</w:t>
      </w:r>
      <w:r>
        <w:rPr>
          <w:rFonts w:cs="Times New Roman"/>
        </w:rPr>
        <w:t>条，</w:t>
      </w:r>
      <w:r>
        <w:rPr>
          <w:rFonts w:cs="Times New Roman" w:hint="eastAsia"/>
        </w:rPr>
        <w:t>运营里程</w:t>
      </w:r>
      <w:r>
        <w:rPr>
          <w:rFonts w:cs="Times New Roman"/>
        </w:rPr>
        <w:t>共计</w:t>
      </w:r>
      <w:r>
        <w:rPr>
          <w:rFonts w:cs="Times New Roman"/>
        </w:rPr>
        <w:t>6321</w:t>
      </w:r>
      <w:r>
        <w:rPr>
          <w:rFonts w:cs="Times New Roman"/>
        </w:rPr>
        <w:t>公里。</w:t>
      </w:r>
    </w:p>
    <w:p w:rsidR="00AA0CEC" w:rsidRDefault="00DA349F" w:rsidP="000256A0">
      <w:pPr>
        <w:spacing w:line="480" w:lineRule="auto"/>
        <w:ind w:firstLineChars="195" w:firstLine="468"/>
        <w:rPr>
          <w:rFonts w:cs="Times New Roman"/>
          <w:szCs w:val="24"/>
        </w:rPr>
      </w:pPr>
      <w:r>
        <w:rPr>
          <w:rFonts w:eastAsia="楷体" w:cs="Times New Roman"/>
          <w:b/>
        </w:rPr>
        <w:t>3.</w:t>
      </w:r>
      <w:r>
        <w:rPr>
          <w:rFonts w:eastAsia="楷体" w:hAnsi="楷体" w:cs="Times New Roman"/>
          <w:b/>
        </w:rPr>
        <w:t>公交服务质量取得新提升。</w:t>
      </w:r>
      <w:r>
        <w:rPr>
          <w:rFonts w:cs="Times New Roman"/>
        </w:rPr>
        <w:t>2010</w:t>
      </w:r>
      <w:r>
        <w:rPr>
          <w:rFonts w:cs="Times New Roman"/>
        </w:rPr>
        <w:t>年以前，兵团纳入管理的城市公共交通主要集中在阿拉尔市、图木舒克市、五家渠市、石河子市等城市，由自治区城建部门负责统一管理，目前兵团共有</w:t>
      </w:r>
      <w:r>
        <w:rPr>
          <w:rFonts w:cs="Times New Roman"/>
        </w:rPr>
        <w:t>7</w:t>
      </w:r>
      <w:r>
        <w:rPr>
          <w:rFonts w:cs="Times New Roman"/>
        </w:rPr>
        <w:t>座城市，</w:t>
      </w:r>
      <w:r>
        <w:rPr>
          <w:rFonts w:cs="Times New Roman" w:hint="eastAsia"/>
        </w:rPr>
        <w:t>公交</w:t>
      </w:r>
      <w:r>
        <w:rPr>
          <w:rFonts w:cs="Times New Roman"/>
        </w:rPr>
        <w:t>服务质量逐步提升。国家实施的城乡道路客运燃油补贴，是一项惠民政策，自</w:t>
      </w:r>
      <w:r>
        <w:rPr>
          <w:rFonts w:cs="Times New Roman"/>
        </w:rPr>
        <w:t>2010</w:t>
      </w:r>
      <w:r>
        <w:rPr>
          <w:rFonts w:cs="Times New Roman"/>
        </w:rPr>
        <w:t>年城市公交、出租客运燃油补贴在兵团实行计划单列，在为了更好更快</w:t>
      </w:r>
      <w:r>
        <w:rPr>
          <w:rFonts w:cs="Times New Roman" w:hint="eastAsia"/>
        </w:rPr>
        <w:t>地</w:t>
      </w:r>
      <w:r>
        <w:rPr>
          <w:rFonts w:cs="Times New Roman"/>
        </w:rPr>
        <w:t>把这一惠民政策落实到位，确保油料补贴及时发放到补助对象手中，结合兵团实际，遵循公开、透明、及时、便民的原则，兵团为城市公共交通做好油补发放工作，</w:t>
      </w:r>
      <w:r>
        <w:rPr>
          <w:rFonts w:cs="Times New Roman"/>
        </w:rPr>
        <w:t>2010</w:t>
      </w:r>
      <w:r>
        <w:rPr>
          <w:rFonts w:cs="Times New Roman"/>
        </w:rPr>
        <w:t>年发放城市公交油补资金</w:t>
      </w:r>
      <w:r>
        <w:rPr>
          <w:rFonts w:cs="Times New Roman"/>
        </w:rPr>
        <w:t>1549</w:t>
      </w:r>
      <w:r>
        <w:rPr>
          <w:rFonts w:cs="Times New Roman"/>
        </w:rPr>
        <w:t>万元、团场公交油补资金</w:t>
      </w:r>
      <w:r>
        <w:rPr>
          <w:rFonts w:cs="Times New Roman"/>
        </w:rPr>
        <w:t>1464</w:t>
      </w:r>
      <w:r>
        <w:rPr>
          <w:rFonts w:cs="Times New Roman"/>
        </w:rPr>
        <w:t>万元，城市出租油补资金</w:t>
      </w:r>
      <w:r>
        <w:rPr>
          <w:rFonts w:cs="Times New Roman"/>
        </w:rPr>
        <w:t>2607</w:t>
      </w:r>
      <w:r>
        <w:rPr>
          <w:rFonts w:cs="Times New Roman"/>
        </w:rPr>
        <w:t>万元、团场出租油补资金</w:t>
      </w:r>
      <w:r>
        <w:rPr>
          <w:rFonts w:cs="Times New Roman"/>
        </w:rPr>
        <w:t>1708</w:t>
      </w:r>
      <w:r>
        <w:rPr>
          <w:rFonts w:cs="Times New Roman"/>
        </w:rPr>
        <w:t>万元；</w:t>
      </w:r>
      <w:r>
        <w:rPr>
          <w:rFonts w:cs="Times New Roman"/>
        </w:rPr>
        <w:t>2011</w:t>
      </w:r>
      <w:r>
        <w:rPr>
          <w:rFonts w:cs="Times New Roman"/>
        </w:rPr>
        <w:t>年，发放城镇（含团场）公交油补资金</w:t>
      </w:r>
      <w:r>
        <w:rPr>
          <w:rFonts w:cs="Times New Roman"/>
        </w:rPr>
        <w:t>3680</w:t>
      </w:r>
      <w:r>
        <w:rPr>
          <w:rFonts w:cs="Times New Roman"/>
        </w:rPr>
        <w:t>万元、城镇（含团场）出租油补资金</w:t>
      </w:r>
      <w:r>
        <w:rPr>
          <w:rFonts w:cs="Times New Roman"/>
        </w:rPr>
        <w:t>6621</w:t>
      </w:r>
      <w:r>
        <w:rPr>
          <w:rFonts w:cs="Times New Roman"/>
        </w:rPr>
        <w:t>万元，确保了公共交通行业队伍稳定和行业健康有序发展。</w:t>
      </w:r>
    </w:p>
    <w:p w:rsidR="00AA0CEC" w:rsidRDefault="00DA349F" w:rsidP="000256A0">
      <w:pPr>
        <w:spacing w:line="480" w:lineRule="auto"/>
        <w:ind w:firstLineChars="200" w:firstLine="480"/>
        <w:rPr>
          <w:rFonts w:cs="Times New Roman"/>
          <w:szCs w:val="24"/>
        </w:rPr>
      </w:pPr>
      <w:r>
        <w:rPr>
          <w:rFonts w:eastAsia="楷体" w:cs="Times New Roman"/>
          <w:b/>
        </w:rPr>
        <w:t>4.</w:t>
      </w:r>
      <w:r>
        <w:rPr>
          <w:rFonts w:eastAsia="楷体" w:hAnsi="楷体" w:cs="Times New Roman"/>
          <w:b/>
        </w:rPr>
        <w:t>公交行业改革取得新进展。</w:t>
      </w:r>
      <w:r>
        <w:rPr>
          <w:rFonts w:cs="Times New Roman"/>
          <w:szCs w:val="24"/>
        </w:rPr>
        <w:t>交通运输大部制改革不断深化，各省、自治区、直辖市将指导城市客运的职责整体划入交通运输管理部门</w:t>
      </w:r>
      <w:r>
        <w:rPr>
          <w:rFonts w:cs="Times New Roman" w:hint="eastAsia"/>
          <w:szCs w:val="24"/>
        </w:rPr>
        <w:t>，</w:t>
      </w:r>
      <w:r>
        <w:rPr>
          <w:rFonts w:cs="Times New Roman"/>
          <w:szCs w:val="24"/>
        </w:rPr>
        <w:t>全国</w:t>
      </w:r>
      <w:r>
        <w:rPr>
          <w:rFonts w:cs="Times New Roman"/>
          <w:szCs w:val="24"/>
        </w:rPr>
        <w:t>98%</w:t>
      </w:r>
      <w:r>
        <w:rPr>
          <w:rFonts w:cs="Times New Roman"/>
          <w:szCs w:val="24"/>
        </w:rPr>
        <w:t>的地级以上城市将公共交通管理职能划归交通运输部门。兵团积极探索城市公共交通发展改革，推进运营主体整合和管理模式创新，探索城市公共交通服务质量招投标制度、公共财政保障制度、社会满意度调查制度等，有效提升了兵团公共交通综合治理能力。</w:t>
      </w:r>
    </w:p>
    <w:p w:rsidR="00AA0CEC" w:rsidRDefault="00DA349F" w:rsidP="000256A0">
      <w:pPr>
        <w:spacing w:line="480" w:lineRule="auto"/>
        <w:ind w:firstLineChars="200" w:firstLine="480"/>
        <w:rPr>
          <w:rFonts w:cs="Times New Roman"/>
          <w:szCs w:val="24"/>
        </w:rPr>
      </w:pPr>
      <w:r>
        <w:rPr>
          <w:rFonts w:eastAsia="楷体" w:cs="Times New Roman"/>
          <w:b/>
        </w:rPr>
        <w:t>5.</w:t>
      </w:r>
      <w:r>
        <w:rPr>
          <w:rFonts w:eastAsia="楷体" w:hAnsi="楷体" w:cs="Times New Roman"/>
          <w:b/>
        </w:rPr>
        <w:t>公交都市建设活动有序进行。</w:t>
      </w:r>
      <w:r>
        <w:rPr>
          <w:rFonts w:cs="Times New Roman"/>
          <w:szCs w:val="24"/>
        </w:rPr>
        <w:t>为倡导</w:t>
      </w:r>
      <w:r>
        <w:rPr>
          <w:rFonts w:cs="Times New Roman" w:hint="eastAsia"/>
          <w:szCs w:val="24"/>
        </w:rPr>
        <w:t>“</w:t>
      </w:r>
      <w:r>
        <w:rPr>
          <w:rFonts w:cs="Times New Roman"/>
          <w:szCs w:val="24"/>
        </w:rPr>
        <w:t>公共交通引导城市发展</w:t>
      </w:r>
      <w:r>
        <w:rPr>
          <w:rFonts w:cs="Times New Roman" w:hint="eastAsia"/>
          <w:szCs w:val="24"/>
        </w:rPr>
        <w:t>”</w:t>
      </w:r>
      <w:r>
        <w:rPr>
          <w:rFonts w:cs="Times New Roman"/>
          <w:szCs w:val="24"/>
        </w:rPr>
        <w:t>理念，兵团各师有序进行公交都市建设活动。如石河子市有公交站点</w:t>
      </w:r>
      <w:r>
        <w:rPr>
          <w:rFonts w:cs="Times New Roman"/>
          <w:szCs w:val="24"/>
        </w:rPr>
        <w:t>625</w:t>
      </w:r>
      <w:r>
        <w:rPr>
          <w:rFonts w:cs="Times New Roman"/>
          <w:szCs w:val="24"/>
        </w:rPr>
        <w:t>处，候车亭</w:t>
      </w:r>
      <w:r>
        <w:rPr>
          <w:rFonts w:cs="Times New Roman"/>
          <w:szCs w:val="24"/>
        </w:rPr>
        <w:t>146</w:t>
      </w:r>
      <w:r>
        <w:rPr>
          <w:rFonts w:cs="Times New Roman"/>
          <w:szCs w:val="24"/>
        </w:rPr>
        <w:t>处，石河子乡的</w:t>
      </w:r>
      <w:r>
        <w:rPr>
          <w:rFonts w:cs="Times New Roman"/>
          <w:szCs w:val="24"/>
        </w:rPr>
        <w:t>21</w:t>
      </w:r>
      <w:r>
        <w:rPr>
          <w:rFonts w:cs="Times New Roman"/>
          <w:szCs w:val="24"/>
        </w:rPr>
        <w:t>个行政村</w:t>
      </w:r>
      <w:r>
        <w:rPr>
          <w:rFonts w:cs="Times New Roman" w:hint="eastAsia"/>
          <w:szCs w:val="24"/>
        </w:rPr>
        <w:t>均已开通</w:t>
      </w:r>
      <w:r>
        <w:rPr>
          <w:rFonts w:cs="Times New Roman"/>
          <w:szCs w:val="24"/>
        </w:rPr>
        <w:t>公交线路和公交车，此外，市区附近农牧</w:t>
      </w:r>
      <w:r>
        <w:rPr>
          <w:rFonts w:cs="Times New Roman"/>
          <w:szCs w:val="24"/>
        </w:rPr>
        <w:lastRenderedPageBreak/>
        <w:t>团场和著名风景旅游景点</w:t>
      </w:r>
      <w:r>
        <w:rPr>
          <w:rFonts w:cs="Times New Roman" w:hint="eastAsia"/>
          <w:szCs w:val="24"/>
        </w:rPr>
        <w:t>建设开通</w:t>
      </w:r>
      <w:r>
        <w:rPr>
          <w:rFonts w:cs="Times New Roman"/>
          <w:szCs w:val="24"/>
        </w:rPr>
        <w:t>公交线路</w:t>
      </w:r>
      <w:r>
        <w:rPr>
          <w:rFonts w:cs="Times New Roman"/>
          <w:szCs w:val="24"/>
        </w:rPr>
        <w:t>16</w:t>
      </w:r>
      <w:r>
        <w:rPr>
          <w:rFonts w:cs="Times New Roman"/>
          <w:szCs w:val="24"/>
        </w:rPr>
        <w:t>条。</w:t>
      </w:r>
      <w:r>
        <w:rPr>
          <w:rFonts w:cs="Times New Roman"/>
          <w:szCs w:val="24"/>
        </w:rPr>
        <w:t>2013</w:t>
      </w:r>
      <w:r>
        <w:rPr>
          <w:rFonts w:cs="Times New Roman"/>
          <w:szCs w:val="24"/>
        </w:rPr>
        <w:t>年</w:t>
      </w:r>
      <w:r>
        <w:rPr>
          <w:rFonts w:cs="Times New Roman"/>
          <w:szCs w:val="24"/>
        </w:rPr>
        <w:t>5</w:t>
      </w:r>
      <w:r>
        <w:rPr>
          <w:rFonts w:cs="Times New Roman"/>
          <w:szCs w:val="24"/>
        </w:rPr>
        <w:t>月</w:t>
      </w:r>
      <w:r>
        <w:rPr>
          <w:rFonts w:cs="Times New Roman"/>
          <w:szCs w:val="24"/>
        </w:rPr>
        <w:t>10</w:t>
      </w:r>
      <w:r>
        <w:rPr>
          <w:rFonts w:cs="Times New Roman"/>
          <w:szCs w:val="24"/>
        </w:rPr>
        <w:t>日</w:t>
      </w:r>
      <w:r>
        <w:rPr>
          <w:rFonts w:cs="Times New Roman" w:hint="eastAsia"/>
          <w:szCs w:val="24"/>
        </w:rPr>
        <w:t>，</w:t>
      </w:r>
      <w:r>
        <w:rPr>
          <w:rFonts w:cs="Times New Roman"/>
          <w:szCs w:val="24"/>
        </w:rPr>
        <w:t>兵团十二师新开通</w:t>
      </w:r>
      <w:r>
        <w:rPr>
          <w:rFonts w:cs="Times New Roman"/>
          <w:szCs w:val="24"/>
        </w:rPr>
        <w:t>7</w:t>
      </w:r>
      <w:r>
        <w:rPr>
          <w:rFonts w:cs="Times New Roman"/>
          <w:szCs w:val="24"/>
        </w:rPr>
        <w:t>条公交线路，站点基本覆盖各个连队和作业点</w:t>
      </w:r>
      <w:r>
        <w:rPr>
          <w:rFonts w:cs="Times New Roman" w:hint="eastAsia"/>
          <w:szCs w:val="24"/>
        </w:rPr>
        <w:t>，</w:t>
      </w:r>
      <w:r>
        <w:rPr>
          <w:rFonts w:cs="Times New Roman"/>
          <w:szCs w:val="24"/>
        </w:rPr>
        <w:t>票价实行一元一票制，今后可逐步实现学生卡和老年卡的刷卡业务，持有老年优待证的居民可免费乘车。目前各师团场班线均已开通，在较大的团场团部设有客运站，每个团场均有班线或直达、或经停，发车频率基本可满足团场群众出行的需要。通过开展公交都市建设，兵团优先发展城市公交的政策体系进一步完善，城市公交基础设施、运营保障能力和服务水平稳步提升，并形成了一批可复制、可推广的典型案例。</w:t>
      </w:r>
    </w:p>
    <w:p w:rsidR="00AA0CEC" w:rsidRDefault="00DA349F" w:rsidP="00C551DE">
      <w:pPr>
        <w:spacing w:line="480" w:lineRule="auto"/>
        <w:ind w:firstLineChars="200" w:firstLine="480"/>
        <w:rPr>
          <w:rFonts w:cs="Times New Roman"/>
          <w:b/>
        </w:rPr>
      </w:pPr>
      <w:r>
        <w:rPr>
          <w:rFonts w:cs="Times New Roman"/>
          <w:szCs w:val="24"/>
        </w:rPr>
        <w:t>尽管</w:t>
      </w:r>
      <w:r>
        <w:rPr>
          <w:rFonts w:cs="Times New Roman" w:hint="eastAsia"/>
          <w:szCs w:val="24"/>
        </w:rPr>
        <w:t>“</w:t>
      </w:r>
      <w:r>
        <w:rPr>
          <w:rFonts w:cs="Times New Roman"/>
          <w:szCs w:val="24"/>
        </w:rPr>
        <w:t>十二五</w:t>
      </w:r>
      <w:r>
        <w:rPr>
          <w:rFonts w:cs="Times New Roman" w:hint="eastAsia"/>
          <w:szCs w:val="24"/>
        </w:rPr>
        <w:t>”</w:t>
      </w:r>
      <w:r>
        <w:rPr>
          <w:rFonts w:cs="Times New Roman"/>
          <w:szCs w:val="24"/>
        </w:rPr>
        <w:t>期兵团公共交通发展成绩显著，但与我国经济社会发展和人民群众的出行需求相比，兵团城市分布于全疆各地，由于地域的差异和经济发展程度不同，公共交通发展的阶段也各不相同，兵团公共交通发展总体滞后的</w:t>
      </w:r>
      <w:r>
        <w:rPr>
          <w:rFonts w:cs="Times New Roman"/>
        </w:rPr>
        <w:t>局面仍没有彻底改变，</w:t>
      </w:r>
      <w:r>
        <w:rPr>
          <w:rFonts w:cs="Times New Roman"/>
          <w:b/>
        </w:rPr>
        <w:t>还存在一些亟待解决的问题，主要体现在：</w:t>
      </w:r>
    </w:p>
    <w:p w:rsidR="006015FC" w:rsidRPr="00D61AD0" w:rsidRDefault="006015FC" w:rsidP="00C551DE">
      <w:pPr>
        <w:pStyle w:val="aa"/>
        <w:numPr>
          <w:ilvl w:val="0"/>
          <w:numId w:val="2"/>
        </w:numPr>
        <w:spacing w:line="480" w:lineRule="auto"/>
        <w:ind w:firstLineChars="0"/>
        <w:rPr>
          <w:rFonts w:cs="Times New Roman"/>
          <w:b/>
        </w:rPr>
      </w:pPr>
      <w:r w:rsidRPr="00D61AD0">
        <w:rPr>
          <w:rFonts w:cs="Times New Roman" w:hint="eastAsia"/>
          <w:b/>
        </w:rPr>
        <w:t>公交基础设施建设不完善</w:t>
      </w:r>
    </w:p>
    <w:p w:rsidR="009604D2" w:rsidRPr="009604D2" w:rsidRDefault="009604D2" w:rsidP="00C551DE">
      <w:pPr>
        <w:widowControl/>
        <w:spacing w:line="480" w:lineRule="auto"/>
        <w:ind w:firstLineChars="200" w:firstLine="480"/>
        <w:rPr>
          <w:rFonts w:cs="Times New Roman"/>
          <w:szCs w:val="24"/>
        </w:rPr>
      </w:pPr>
      <w:r w:rsidRPr="009604D2">
        <w:rPr>
          <w:rFonts w:eastAsia="宋体" w:cs="Times New Roman"/>
          <w:szCs w:val="24"/>
        </w:rPr>
        <w:t>目前</w:t>
      </w:r>
      <w:r>
        <w:rPr>
          <w:rFonts w:cs="Times New Roman" w:hint="eastAsia"/>
          <w:szCs w:val="24"/>
        </w:rPr>
        <w:t>兵团</w:t>
      </w:r>
      <w:r w:rsidRPr="009604D2">
        <w:rPr>
          <w:rFonts w:eastAsia="宋体" w:cs="Times New Roman"/>
          <w:szCs w:val="24"/>
        </w:rPr>
        <w:t>公共交通基础设施建设仍显滞后，在公交</w:t>
      </w:r>
      <w:r w:rsidRPr="009604D2">
        <w:rPr>
          <w:rFonts w:eastAsia="宋体" w:cs="Times New Roman" w:hint="eastAsia"/>
          <w:szCs w:val="24"/>
        </w:rPr>
        <w:t>站点、</w:t>
      </w:r>
      <w:r w:rsidRPr="009604D2">
        <w:rPr>
          <w:rFonts w:eastAsia="宋体" w:cs="Times New Roman"/>
          <w:szCs w:val="24"/>
        </w:rPr>
        <w:t>场站</w:t>
      </w:r>
      <w:r w:rsidRPr="009604D2">
        <w:rPr>
          <w:rFonts w:eastAsia="宋体" w:cs="Times New Roman" w:hint="eastAsia"/>
          <w:szCs w:val="24"/>
        </w:rPr>
        <w:t>、枢纽等</w:t>
      </w:r>
      <w:r w:rsidRPr="009604D2">
        <w:rPr>
          <w:rFonts w:eastAsia="宋体" w:cs="Times New Roman"/>
          <w:szCs w:val="24"/>
        </w:rPr>
        <w:t>设施建设以及车辆装备</w:t>
      </w:r>
      <w:r w:rsidRPr="009604D2">
        <w:rPr>
          <w:rFonts w:eastAsia="宋体" w:cs="Times New Roman" w:hint="eastAsia"/>
          <w:szCs w:val="24"/>
        </w:rPr>
        <w:t>的</w:t>
      </w:r>
      <w:r w:rsidRPr="009604D2">
        <w:rPr>
          <w:rFonts w:eastAsia="宋体" w:cs="Times New Roman"/>
          <w:szCs w:val="24"/>
        </w:rPr>
        <w:t>配置更新方面得不到政府资金和政策</w:t>
      </w:r>
      <w:r w:rsidRPr="009604D2">
        <w:rPr>
          <w:rFonts w:eastAsia="宋体" w:cs="Times New Roman" w:hint="eastAsia"/>
          <w:szCs w:val="24"/>
        </w:rPr>
        <w:t>的</w:t>
      </w:r>
      <w:r w:rsidRPr="009604D2">
        <w:rPr>
          <w:rFonts w:eastAsia="宋体" w:cs="Times New Roman"/>
          <w:szCs w:val="24"/>
        </w:rPr>
        <w:t>支持。部分城市在市区原有的公交换乘站、停车</w:t>
      </w:r>
      <w:r w:rsidRPr="009604D2">
        <w:rPr>
          <w:rFonts w:eastAsia="宋体" w:cs="Times New Roman" w:hint="eastAsia"/>
          <w:szCs w:val="24"/>
        </w:rPr>
        <w:t>场、</w:t>
      </w:r>
      <w:r w:rsidRPr="009604D2">
        <w:rPr>
          <w:rFonts w:eastAsia="宋体" w:cs="Times New Roman"/>
          <w:szCs w:val="24"/>
        </w:rPr>
        <w:t>保养场等公交设施用地，</w:t>
      </w:r>
      <w:r w:rsidRPr="009604D2">
        <w:rPr>
          <w:rFonts w:eastAsia="宋体" w:cs="Times New Roman" w:hint="eastAsia"/>
          <w:szCs w:val="24"/>
        </w:rPr>
        <w:t>缺乏</w:t>
      </w:r>
      <w:r w:rsidRPr="009604D2">
        <w:rPr>
          <w:rFonts w:eastAsia="宋体" w:cs="Times New Roman"/>
          <w:szCs w:val="24"/>
        </w:rPr>
        <w:t>公交场站等</w:t>
      </w:r>
      <w:r w:rsidRPr="009604D2">
        <w:rPr>
          <w:rFonts w:eastAsia="宋体" w:cs="Times New Roman" w:hint="eastAsia"/>
          <w:szCs w:val="24"/>
        </w:rPr>
        <w:t>必要的</w:t>
      </w:r>
      <w:r w:rsidRPr="009604D2">
        <w:rPr>
          <w:rFonts w:eastAsia="宋体" w:cs="Times New Roman"/>
          <w:szCs w:val="24"/>
        </w:rPr>
        <w:t>基础设施，</w:t>
      </w:r>
      <w:r w:rsidRPr="009604D2">
        <w:rPr>
          <w:rFonts w:eastAsia="宋体" w:cs="Times New Roman" w:hint="eastAsia"/>
          <w:szCs w:val="24"/>
        </w:rPr>
        <w:t>许多公交车辆只能在路边停靠，在城市街道上掉头，带来很大的安全隐患，不利于运营组织，同时对城市交通运行造成较大影响，</w:t>
      </w:r>
      <w:r w:rsidRPr="009604D2">
        <w:rPr>
          <w:rFonts w:eastAsia="宋体" w:cs="Times New Roman"/>
          <w:szCs w:val="24"/>
        </w:rPr>
        <w:t>严重制约了城市公共交通的正常运营和健康发展。</w:t>
      </w:r>
    </w:p>
    <w:p w:rsidR="006015FC" w:rsidRPr="00D61AD0" w:rsidRDefault="006015FC" w:rsidP="00C551DE">
      <w:pPr>
        <w:pStyle w:val="aa"/>
        <w:numPr>
          <w:ilvl w:val="0"/>
          <w:numId w:val="2"/>
        </w:numPr>
        <w:spacing w:line="480" w:lineRule="auto"/>
        <w:ind w:firstLineChars="0"/>
        <w:rPr>
          <w:rFonts w:cs="Times New Roman"/>
          <w:b/>
        </w:rPr>
      </w:pPr>
      <w:r w:rsidRPr="00D61AD0">
        <w:rPr>
          <w:rFonts w:cs="Times New Roman" w:hint="eastAsia"/>
          <w:b/>
        </w:rPr>
        <w:t>公交线路覆盖率不足</w:t>
      </w:r>
    </w:p>
    <w:p w:rsidR="00D61AD0" w:rsidRPr="00D61AD0" w:rsidRDefault="00D61AD0" w:rsidP="00C551DE">
      <w:pPr>
        <w:spacing w:line="480" w:lineRule="auto"/>
        <w:ind w:firstLineChars="200" w:firstLine="480"/>
        <w:jc w:val="left"/>
        <w:rPr>
          <w:rFonts w:cs="Times New Roman"/>
          <w:szCs w:val="24"/>
        </w:rPr>
      </w:pPr>
      <w:r w:rsidRPr="00D61AD0">
        <w:rPr>
          <w:rFonts w:cs="Times New Roman" w:hint="eastAsia"/>
          <w:szCs w:val="24"/>
        </w:rPr>
        <w:t>目前，兵团城市的公交线网覆盖率普遍偏低，城市中心公交线路聚集，而城市边缘城乡结合部则是公交空白区，很多居民无法享受公共交通带来的便利。</w:t>
      </w:r>
    </w:p>
    <w:p w:rsidR="00D61AD0" w:rsidRPr="00D61AD0" w:rsidRDefault="00D61AD0" w:rsidP="00C551DE">
      <w:pPr>
        <w:spacing w:line="480" w:lineRule="auto"/>
        <w:ind w:firstLineChars="200" w:firstLine="480"/>
        <w:jc w:val="left"/>
        <w:rPr>
          <w:rFonts w:cs="Times New Roman"/>
          <w:szCs w:val="24"/>
        </w:rPr>
      </w:pPr>
      <w:r w:rsidRPr="00D61AD0">
        <w:rPr>
          <w:rFonts w:cs="Times New Roman" w:hint="eastAsia"/>
          <w:szCs w:val="24"/>
        </w:rPr>
        <w:t>随着城市不断发展，城市规模不断的扩大，城市公共交通线网必将随着城市</w:t>
      </w:r>
      <w:r w:rsidRPr="00D61AD0">
        <w:rPr>
          <w:rFonts w:cs="Times New Roman" w:hint="eastAsia"/>
          <w:szCs w:val="24"/>
        </w:rPr>
        <w:lastRenderedPageBreak/>
        <w:t>规模的扩大而延伸，已有公交线路会发生调整或重新规划，公交线路变更会改变沿线居民多年形成的出行习惯，造成出行不便。同时在城市扩建的区域需要增加新的公交线路。新线路的布设不当会与已有线路发生重叠，造成线路重复、资源浪费。</w:t>
      </w:r>
    </w:p>
    <w:p w:rsidR="009604D2" w:rsidRPr="00D61AD0" w:rsidRDefault="009604D2" w:rsidP="00C551DE">
      <w:pPr>
        <w:spacing w:line="480" w:lineRule="auto"/>
        <w:ind w:firstLineChars="200" w:firstLine="480"/>
        <w:jc w:val="left"/>
        <w:rPr>
          <w:rFonts w:cs="Times New Roman"/>
          <w:szCs w:val="24"/>
        </w:rPr>
      </w:pPr>
      <w:r w:rsidRPr="009604D2">
        <w:rPr>
          <w:rFonts w:cs="Times New Roman" w:hint="eastAsia"/>
          <w:szCs w:val="24"/>
        </w:rPr>
        <w:t>公交运力不足或过剩已经成为影响公共交通服务质量的重要因素，当运力不足时，常规公交发车间隔时间延长，出现大间隔现象，乘客候车时间增加，易出现超载；当运力过剩时，造成公交班次有效载客量减少，公交车辆利用率降低，降低了企业运营效益，同时造成不必要能源损耗。</w:t>
      </w:r>
    </w:p>
    <w:p w:rsidR="006015FC" w:rsidRPr="00D61AD0" w:rsidRDefault="006015FC" w:rsidP="00C551DE">
      <w:pPr>
        <w:pStyle w:val="aa"/>
        <w:numPr>
          <w:ilvl w:val="0"/>
          <w:numId w:val="2"/>
        </w:numPr>
        <w:spacing w:line="480" w:lineRule="auto"/>
        <w:ind w:firstLineChars="0"/>
        <w:rPr>
          <w:rFonts w:cs="Times New Roman"/>
          <w:b/>
        </w:rPr>
      </w:pPr>
      <w:r w:rsidRPr="00D61AD0">
        <w:rPr>
          <w:rFonts w:cs="Times New Roman" w:hint="eastAsia"/>
          <w:b/>
        </w:rPr>
        <w:t>公交服务质量有待提升</w:t>
      </w:r>
    </w:p>
    <w:p w:rsidR="00D61AD0" w:rsidRPr="00D61AD0" w:rsidRDefault="00D61AD0" w:rsidP="00C551DE">
      <w:pPr>
        <w:spacing w:line="480" w:lineRule="auto"/>
        <w:ind w:firstLineChars="200" w:firstLine="480"/>
        <w:jc w:val="left"/>
        <w:rPr>
          <w:rFonts w:cs="Times New Roman"/>
          <w:szCs w:val="24"/>
        </w:rPr>
      </w:pPr>
      <w:r w:rsidRPr="00D61AD0">
        <w:rPr>
          <w:rFonts w:cs="Times New Roman" w:hint="eastAsia"/>
          <w:szCs w:val="24"/>
        </w:rPr>
        <w:t>公交车普遍存在等待及换乘时间长，行驶速度慢的问题；部分车辆舒适性差、卫生差，车内设施不完善，冬天冷夏天热，这些都是乘客不愿选择公共交通出行的原因。</w:t>
      </w:r>
    </w:p>
    <w:p w:rsidR="00D61AD0" w:rsidRPr="00D61AD0" w:rsidRDefault="00D61AD0" w:rsidP="00C551DE">
      <w:pPr>
        <w:spacing w:line="480" w:lineRule="auto"/>
        <w:ind w:firstLineChars="200" w:firstLine="480"/>
        <w:jc w:val="left"/>
        <w:rPr>
          <w:rFonts w:cs="Times New Roman"/>
          <w:szCs w:val="24"/>
        </w:rPr>
      </w:pPr>
      <w:r w:rsidRPr="00D61AD0">
        <w:rPr>
          <w:rFonts w:cs="Times New Roman" w:hint="eastAsia"/>
          <w:szCs w:val="24"/>
        </w:rPr>
        <w:t>要提高公共交通对乘客的吸引力，首先提高公共交通的准点率，其次对公交车内环境改善，保证车内整洁卫生无异味，以提高乘客乘车舒适度，对于一些保温性能差、四面漏风的车辆应予以修理或者更换新车。</w:t>
      </w:r>
    </w:p>
    <w:p w:rsidR="006015FC" w:rsidRPr="00D61AD0" w:rsidRDefault="006015FC" w:rsidP="00C551DE">
      <w:pPr>
        <w:pStyle w:val="aa"/>
        <w:numPr>
          <w:ilvl w:val="0"/>
          <w:numId w:val="2"/>
        </w:numPr>
        <w:spacing w:line="480" w:lineRule="auto"/>
        <w:ind w:firstLineChars="0"/>
        <w:rPr>
          <w:rFonts w:cs="Times New Roman"/>
          <w:b/>
        </w:rPr>
      </w:pPr>
      <w:r w:rsidRPr="00D61AD0">
        <w:rPr>
          <w:rFonts w:cs="Times New Roman" w:hint="eastAsia"/>
          <w:b/>
        </w:rPr>
        <w:t>公交管理体制存在问题</w:t>
      </w:r>
    </w:p>
    <w:p w:rsidR="00AA0CEC" w:rsidRDefault="00DA349F" w:rsidP="00C551DE">
      <w:pPr>
        <w:spacing w:line="480" w:lineRule="auto"/>
        <w:ind w:firstLineChars="210" w:firstLine="504"/>
        <w:rPr>
          <w:rFonts w:cs="Times New Roman"/>
          <w:szCs w:val="24"/>
        </w:rPr>
      </w:pPr>
      <w:r>
        <w:rPr>
          <w:rFonts w:cs="Times New Roman" w:hint="eastAsia"/>
          <w:szCs w:val="24"/>
        </w:rPr>
        <w:t>兵团城市公共交通管理工作对兵团交通而言属于新生事物，其涵盖范围不仅是市县城区还包含乡镇（团场和连队），所以涉及兵团各师，属于兵团交通运输业一种重要的经营性资源；其工作内容包括制度法规建设、出租车辆投入、车辆运营、服务质量和安全，以及近年实施的燃油价格补贴工作，涉及面广、工作量大；其性质属于社会公共服务事业，社会影响面宽，易引发群体性不稳定事件，目前管理工作主要存在以下问题和困难：</w:t>
      </w:r>
    </w:p>
    <w:p w:rsidR="00AA0CEC" w:rsidRDefault="00DA349F" w:rsidP="000256A0">
      <w:pPr>
        <w:pStyle w:val="11"/>
        <w:numPr>
          <w:ilvl w:val="0"/>
          <w:numId w:val="1"/>
        </w:numPr>
        <w:adjustRightInd w:val="0"/>
        <w:snapToGrid w:val="0"/>
        <w:spacing w:beforeLines="50" w:line="480" w:lineRule="auto"/>
        <w:ind w:firstLineChars="0"/>
        <w:rPr>
          <w:rFonts w:cs="Times New Roman"/>
          <w:b/>
          <w:szCs w:val="24"/>
        </w:rPr>
      </w:pPr>
      <w:r>
        <w:rPr>
          <w:rFonts w:cs="Times New Roman" w:hint="eastAsia"/>
          <w:b/>
          <w:szCs w:val="24"/>
        </w:rPr>
        <w:lastRenderedPageBreak/>
        <w:t>缺少城市公共交通规划</w:t>
      </w:r>
    </w:p>
    <w:p w:rsidR="00AA0CEC" w:rsidRDefault="00DA349F" w:rsidP="00C551DE">
      <w:pPr>
        <w:spacing w:line="480" w:lineRule="auto"/>
        <w:ind w:firstLineChars="210" w:firstLine="504"/>
        <w:rPr>
          <w:rFonts w:cs="Times New Roman"/>
          <w:szCs w:val="24"/>
        </w:rPr>
      </w:pPr>
      <w:r>
        <w:rPr>
          <w:rFonts w:cs="Times New Roman" w:hint="eastAsia"/>
          <w:szCs w:val="24"/>
        </w:rPr>
        <w:t>目前，除兵团部分城市已制定城市公共交通发展规划以外，其余各师（市）均无同类规划，造成兵团城市公共交通发展目标不明确、线路设置、站点布局、运力投放无章可循，团场内部的公共交通规划为空白。</w:t>
      </w:r>
    </w:p>
    <w:p w:rsidR="00AA0CEC" w:rsidRDefault="00DA349F" w:rsidP="00C551DE">
      <w:pPr>
        <w:pStyle w:val="11"/>
        <w:numPr>
          <w:ilvl w:val="0"/>
          <w:numId w:val="1"/>
        </w:numPr>
        <w:spacing w:line="480" w:lineRule="auto"/>
        <w:ind w:firstLineChars="0"/>
        <w:rPr>
          <w:rFonts w:cs="Times New Roman"/>
          <w:b/>
          <w:szCs w:val="24"/>
        </w:rPr>
      </w:pPr>
      <w:r>
        <w:rPr>
          <w:rFonts w:cs="Times New Roman" w:hint="eastAsia"/>
          <w:b/>
          <w:szCs w:val="24"/>
        </w:rPr>
        <w:t>公共交通专职工作人员缺乏</w:t>
      </w:r>
    </w:p>
    <w:p w:rsidR="00AA0CEC" w:rsidRDefault="00DA349F" w:rsidP="00C551DE">
      <w:pPr>
        <w:spacing w:line="480" w:lineRule="auto"/>
        <w:ind w:firstLineChars="210" w:firstLine="504"/>
        <w:rPr>
          <w:rFonts w:cs="Times New Roman"/>
          <w:szCs w:val="24"/>
        </w:rPr>
      </w:pPr>
      <w:r>
        <w:rPr>
          <w:rFonts w:cs="Times New Roman" w:hint="eastAsia"/>
          <w:szCs w:val="24"/>
        </w:rPr>
        <w:t>兵团的城市公共交通管理工作暂由兵团交通局运输处（兵团客运管理办公室）具体负责指导，但并没有明确管理职责和权限，也没有专职的管理人员（自治区交通运输厅成立了出租汽车行业指导办公室，并有专职人员）。除第八师石河子市有城市客运专职管理机构以外，其他各师均无专职管理机构，部分师虽然成立了客运管理办公室，但尚未得到兵、师编办的认可，属内设机构。</w:t>
      </w:r>
    </w:p>
    <w:p w:rsidR="00AA0CEC" w:rsidRDefault="00DA349F" w:rsidP="000256A0">
      <w:pPr>
        <w:pStyle w:val="11"/>
        <w:numPr>
          <w:ilvl w:val="0"/>
          <w:numId w:val="1"/>
        </w:numPr>
        <w:adjustRightInd w:val="0"/>
        <w:snapToGrid w:val="0"/>
        <w:spacing w:beforeLines="50" w:line="480" w:lineRule="auto"/>
        <w:ind w:firstLineChars="0"/>
        <w:rPr>
          <w:rFonts w:cs="Times New Roman"/>
          <w:b/>
          <w:szCs w:val="24"/>
        </w:rPr>
      </w:pPr>
      <w:r>
        <w:rPr>
          <w:rFonts w:cs="Times New Roman" w:hint="eastAsia"/>
          <w:b/>
          <w:szCs w:val="24"/>
        </w:rPr>
        <w:t>城市公共交通管理的法规制度不健全</w:t>
      </w:r>
    </w:p>
    <w:p w:rsidR="00AA0CEC" w:rsidRDefault="00DA349F" w:rsidP="00C551DE">
      <w:pPr>
        <w:spacing w:line="480" w:lineRule="auto"/>
        <w:ind w:firstLineChars="210" w:firstLine="504"/>
        <w:rPr>
          <w:rFonts w:cs="Times New Roman"/>
          <w:szCs w:val="24"/>
        </w:rPr>
      </w:pPr>
      <w:r>
        <w:rPr>
          <w:rFonts w:cs="Times New Roman" w:hint="eastAsia"/>
          <w:szCs w:val="24"/>
        </w:rPr>
        <w:t>目前，国家尚未出台统一的城市公共交通管理法律法规，各地均是以地方政府立法的形式制订管理法规，但兵团在城市公共交通管理方面尚处于无法可依的状态，师、团公交、出租车的管理、运价、服务质量等有待通过法规制度进一步规范。</w:t>
      </w:r>
    </w:p>
    <w:p w:rsidR="00AA0CEC" w:rsidRDefault="00DA349F" w:rsidP="000256A0">
      <w:pPr>
        <w:pStyle w:val="11"/>
        <w:numPr>
          <w:ilvl w:val="0"/>
          <w:numId w:val="1"/>
        </w:numPr>
        <w:adjustRightInd w:val="0"/>
        <w:snapToGrid w:val="0"/>
        <w:spacing w:beforeLines="50" w:line="480" w:lineRule="auto"/>
        <w:ind w:firstLineChars="0"/>
        <w:rPr>
          <w:rFonts w:cs="Times New Roman"/>
          <w:b/>
          <w:szCs w:val="24"/>
        </w:rPr>
      </w:pPr>
      <w:r>
        <w:rPr>
          <w:rFonts w:cs="Times New Roman" w:hint="eastAsia"/>
          <w:b/>
          <w:szCs w:val="24"/>
        </w:rPr>
        <w:t>行政执法权不明确</w:t>
      </w:r>
    </w:p>
    <w:p w:rsidR="00AA0CEC" w:rsidRDefault="00DA349F" w:rsidP="00C551DE">
      <w:pPr>
        <w:spacing w:line="480" w:lineRule="auto"/>
        <w:ind w:firstLineChars="210" w:firstLine="504"/>
        <w:rPr>
          <w:rFonts w:cs="Times New Roman"/>
          <w:szCs w:val="24"/>
        </w:rPr>
      </w:pPr>
      <w:r>
        <w:rPr>
          <w:rFonts w:cs="Times New Roman" w:hint="eastAsia"/>
          <w:szCs w:val="24"/>
        </w:rPr>
        <w:t>兵团交通运输部门对城市公共交通的行政执法权至今仍不明确，</w:t>
      </w:r>
      <w:r>
        <w:rPr>
          <w:rFonts w:cs="Times New Roman" w:hint="eastAsia"/>
          <w:szCs w:val="24"/>
        </w:rPr>
        <w:t>2005</w:t>
      </w:r>
      <w:r>
        <w:rPr>
          <w:rFonts w:cs="Times New Roman" w:hint="eastAsia"/>
          <w:szCs w:val="24"/>
        </w:rPr>
        <w:t>年</w:t>
      </w:r>
      <w:r>
        <w:rPr>
          <w:rFonts w:cs="Times New Roman" w:hint="eastAsia"/>
          <w:szCs w:val="24"/>
        </w:rPr>
        <w:t>1</w:t>
      </w:r>
      <w:r>
        <w:rPr>
          <w:rFonts w:cs="Times New Roman" w:hint="eastAsia"/>
          <w:szCs w:val="24"/>
        </w:rPr>
        <w:t>月</w:t>
      </w:r>
      <w:r>
        <w:rPr>
          <w:rFonts w:cs="Times New Roman" w:hint="eastAsia"/>
          <w:szCs w:val="24"/>
        </w:rPr>
        <w:t>7</w:t>
      </w:r>
      <w:r>
        <w:rPr>
          <w:rFonts w:cs="Times New Roman" w:hint="eastAsia"/>
          <w:szCs w:val="24"/>
        </w:rPr>
        <w:t>日经新疆维吾尔自治区第十届人民代表大会常务委员会第十四次会议审议通过的《新疆维吾尔自治区市政公用事业特许经营条例》明确城市公共客运交通等公用事业由特许人根据城市人民政府确定的特许经营项目，通过招标等方式，允许特许经营者在一定期限和范围内从事市政公用事业，其中的特许人为“根据</w:t>
      </w:r>
      <w:r>
        <w:rPr>
          <w:rFonts w:cs="Times New Roman" w:hint="eastAsia"/>
          <w:szCs w:val="24"/>
        </w:rPr>
        <w:lastRenderedPageBreak/>
        <w:t>城市人民政府授权，依法做出特许经营决定的市政公用事业主管部门”。</w:t>
      </w:r>
    </w:p>
    <w:p w:rsidR="00AA0CEC" w:rsidRDefault="00DA349F" w:rsidP="000256A0">
      <w:pPr>
        <w:pStyle w:val="11"/>
        <w:numPr>
          <w:ilvl w:val="0"/>
          <w:numId w:val="1"/>
        </w:numPr>
        <w:adjustRightInd w:val="0"/>
        <w:snapToGrid w:val="0"/>
        <w:spacing w:beforeLines="50" w:line="480" w:lineRule="auto"/>
        <w:ind w:firstLineChars="0"/>
        <w:rPr>
          <w:rFonts w:cs="Times New Roman"/>
          <w:b/>
          <w:szCs w:val="24"/>
        </w:rPr>
      </w:pPr>
      <w:r>
        <w:rPr>
          <w:rFonts w:cs="Times New Roman" w:hint="eastAsia"/>
          <w:b/>
          <w:szCs w:val="24"/>
        </w:rPr>
        <w:t>投入不足导致公交基础设施严重短缺</w:t>
      </w:r>
    </w:p>
    <w:p w:rsidR="00AA0CEC" w:rsidRDefault="00DA349F" w:rsidP="00C551DE">
      <w:pPr>
        <w:spacing w:line="480" w:lineRule="auto"/>
        <w:ind w:firstLineChars="210" w:firstLine="504"/>
        <w:rPr>
          <w:rFonts w:cs="Times New Roman"/>
          <w:szCs w:val="24"/>
        </w:rPr>
      </w:pPr>
      <w:r>
        <w:rPr>
          <w:rFonts w:cs="Times New Roman" w:hint="eastAsia"/>
          <w:szCs w:val="24"/>
        </w:rPr>
        <w:t>据全国城市公共交通投资方面数据统计，城市公共交通固定资产投资占城市建设固定资产投资的比例远低于道路桥梁等基本建设的投资比例，在城市公共交通固定资产投资中，总体上呈现投资不足。大部分城市在公交场站建设以及车辆设施装备和配置更新方面未得到政府资金和政策支持。</w:t>
      </w:r>
    </w:p>
    <w:p w:rsidR="00AA0CEC" w:rsidRDefault="00DA349F" w:rsidP="00C551DE">
      <w:pPr>
        <w:spacing w:line="480" w:lineRule="auto"/>
        <w:ind w:firstLineChars="210" w:firstLine="504"/>
        <w:rPr>
          <w:rFonts w:cs="Times New Roman"/>
          <w:szCs w:val="24"/>
        </w:rPr>
      </w:pPr>
      <w:r>
        <w:rPr>
          <w:rFonts w:cs="Times New Roman" w:hint="eastAsia"/>
          <w:szCs w:val="24"/>
        </w:rPr>
        <w:t>在兵团公交行业同样存在投入不足的现状，是兵团公共交通发展中需解决的重要问题。</w:t>
      </w:r>
    </w:p>
    <w:p w:rsidR="00AA0CEC" w:rsidRDefault="00DA349F" w:rsidP="000256A0">
      <w:pPr>
        <w:pStyle w:val="3"/>
        <w:spacing w:line="480" w:lineRule="auto"/>
        <w:ind w:firstLine="560"/>
        <w:rPr>
          <w:rFonts w:cs="Times New Roman"/>
        </w:rPr>
      </w:pPr>
      <w:bookmarkStart w:id="3" w:name="_Toc454809978"/>
      <w:r>
        <w:rPr>
          <w:rFonts w:cs="Times New Roman"/>
        </w:rPr>
        <w:t>（二）形势要求</w:t>
      </w:r>
      <w:bookmarkEnd w:id="3"/>
    </w:p>
    <w:p w:rsidR="00AA0CEC" w:rsidRDefault="00DA349F" w:rsidP="000256A0">
      <w:pPr>
        <w:adjustRightInd w:val="0"/>
        <w:snapToGrid w:val="0"/>
        <w:spacing w:line="480" w:lineRule="auto"/>
        <w:ind w:firstLineChars="176" w:firstLine="423"/>
        <w:rPr>
          <w:rFonts w:cs="Times New Roman"/>
        </w:rPr>
      </w:pPr>
      <w:r>
        <w:rPr>
          <w:rFonts w:eastAsia="楷体" w:cs="Times New Roman"/>
          <w:b/>
        </w:rPr>
        <w:t>1.</w:t>
      </w:r>
      <w:r>
        <w:rPr>
          <w:rFonts w:eastAsia="楷体" w:hAnsi="楷体" w:cs="Times New Roman"/>
          <w:b/>
        </w:rPr>
        <w:t>适应人民群众基本出行需求，兵团公交应加强供给侧结构性改革。</w:t>
      </w:r>
      <w:r>
        <w:rPr>
          <w:rFonts w:cs="Times New Roman"/>
        </w:rPr>
        <w:t>兵团共有</w:t>
      </w:r>
      <w:r>
        <w:rPr>
          <w:rFonts w:cs="Times New Roman"/>
        </w:rPr>
        <w:t>14</w:t>
      </w:r>
      <w:r>
        <w:rPr>
          <w:rFonts w:cs="Times New Roman"/>
        </w:rPr>
        <w:t>个师，以师部所在城市为中心枢纽，向各团场辐射的团场班线，是兵团公共交通城乡一体化的实际现状。随生活水平的提高，团场居民出行频率大</w:t>
      </w:r>
      <w:r>
        <w:rPr>
          <w:rFonts w:cs="Times New Roman" w:hint="eastAsia"/>
        </w:rPr>
        <w:t>大</w:t>
      </w:r>
      <w:r>
        <w:rPr>
          <w:rFonts w:cs="Times New Roman"/>
        </w:rPr>
        <w:t>增加，活动范围也不再限于团场内部，有的团场居民已在城市购房，居住在城市，日常工作在团场，因此团场班线成为团场群众出现的重要方式。建立团场班线与城市公交的无缝衔接，形成方便又快捷的团场公共交通，是提升团场居民的生活质量的重要方式。同时，兵团交通出行结构和运行方式发生了显著变化，出行需求将更趋于多元化和个性化，客观上要求兵团公交在持续提升保障能力的基础上，进一步加强供给侧改革，优化供给结构，提升服务针对性和精准性，实现量质并举、全面发展。</w:t>
      </w:r>
    </w:p>
    <w:p w:rsidR="00AA0CEC" w:rsidRDefault="00DA349F" w:rsidP="000256A0">
      <w:pPr>
        <w:spacing w:line="480" w:lineRule="auto"/>
        <w:ind w:firstLineChars="196" w:firstLine="471"/>
        <w:rPr>
          <w:rFonts w:cs="Times New Roman"/>
        </w:rPr>
      </w:pPr>
      <w:r>
        <w:rPr>
          <w:rFonts w:eastAsia="楷体" w:cs="Times New Roman"/>
          <w:b/>
        </w:rPr>
        <w:t>2.</w:t>
      </w:r>
      <w:r>
        <w:rPr>
          <w:rFonts w:eastAsia="楷体" w:hAnsi="楷体" w:cs="Times New Roman"/>
          <w:b/>
        </w:rPr>
        <w:t>适应新型城镇化建设需要，兵团公交应发挥好导向作用。</w:t>
      </w:r>
      <w:r>
        <w:rPr>
          <w:rFonts w:cs="Times New Roman" w:hint="eastAsia"/>
        </w:rPr>
        <w:t>“</w:t>
      </w:r>
      <w:r>
        <w:rPr>
          <w:rFonts w:cs="Times New Roman"/>
        </w:rPr>
        <w:t>十三五</w:t>
      </w:r>
      <w:r>
        <w:rPr>
          <w:rFonts w:cs="Times New Roman" w:hint="eastAsia"/>
        </w:rPr>
        <w:t>”</w:t>
      </w:r>
      <w:r>
        <w:rPr>
          <w:rFonts w:cs="Times New Roman"/>
        </w:rPr>
        <w:t>期，</w:t>
      </w:r>
      <w:r>
        <w:rPr>
          <w:rFonts w:cs="Times New Roman"/>
        </w:rPr>
        <w:lastRenderedPageBreak/>
        <w:t>是新型城镇化建设的加速时期。《国家新型城镇化规划（</w:t>
      </w:r>
      <w:r>
        <w:rPr>
          <w:rFonts w:cs="Times New Roman"/>
        </w:rPr>
        <w:t>2014-2020</w:t>
      </w:r>
      <w:r>
        <w:rPr>
          <w:rFonts w:cs="Times New Roman"/>
        </w:rPr>
        <w:t>年）》明确，</w:t>
      </w:r>
      <w:r>
        <w:rPr>
          <w:rFonts w:cs="Times New Roman"/>
        </w:rPr>
        <w:t>“</w:t>
      </w:r>
      <w:r>
        <w:rPr>
          <w:rFonts w:cs="Times New Roman"/>
        </w:rPr>
        <w:t>城市发展模式科学合理。密度较高、功能混用和公交导向的集约紧凑型模式成为主导</w:t>
      </w:r>
      <w:r>
        <w:rPr>
          <w:rFonts w:cs="Times New Roman"/>
        </w:rPr>
        <w:t>”</w:t>
      </w:r>
      <w:r>
        <w:rPr>
          <w:rFonts w:cs="Times New Roman"/>
        </w:rPr>
        <w:t>。为适应新型城镇化建设需要，兵团也必须加快建立公交导向的发展模式，改变兵团公交被动追随兵团发展的局面。</w:t>
      </w:r>
    </w:p>
    <w:p w:rsidR="00AA0CEC" w:rsidRDefault="00DA349F" w:rsidP="000256A0">
      <w:pPr>
        <w:spacing w:line="480" w:lineRule="auto"/>
        <w:ind w:firstLineChars="200" w:firstLine="480"/>
        <w:rPr>
          <w:rFonts w:cs="Times New Roman"/>
        </w:rPr>
      </w:pPr>
      <w:r>
        <w:rPr>
          <w:rFonts w:eastAsia="楷体" w:cs="Times New Roman"/>
          <w:b/>
        </w:rPr>
        <w:t>3.</w:t>
      </w:r>
      <w:r>
        <w:rPr>
          <w:rFonts w:eastAsia="楷体" w:hAnsi="楷体" w:cs="Times New Roman"/>
          <w:b/>
        </w:rPr>
        <w:t>适应兵团交通科学发展需要，兵团公交应发挥好主体作用。</w:t>
      </w:r>
      <w:r>
        <w:rPr>
          <w:rFonts w:cs="Times New Roman"/>
        </w:rPr>
        <w:t>兵团人民生活水平大幅度提高，私家车数量出现激增，出租车数量也逐年增多，遇早晚高峰时公共交通与社会交通混行，会严重影响公共交通的运行效率，要保证公共交通的迅捷，兵团公交的发展应具有容量大、效率高、能耗少、污染小</w:t>
      </w:r>
      <w:r>
        <w:rPr>
          <w:rFonts w:cs="Times New Roman" w:hint="eastAsia"/>
        </w:rPr>
        <w:t>等</w:t>
      </w:r>
      <w:r>
        <w:rPr>
          <w:rFonts w:cs="Times New Roman"/>
        </w:rPr>
        <w:t>优势。缓解兵团交通拥堵、推进兵团交通科学发展，要求充分发挥公共交通的主体作用，大力发展低碳、高效、大容量的公共交通系统。</w:t>
      </w:r>
    </w:p>
    <w:p w:rsidR="00AA0CEC" w:rsidRDefault="00DA349F" w:rsidP="000256A0">
      <w:pPr>
        <w:spacing w:line="480" w:lineRule="auto"/>
        <w:ind w:firstLineChars="200" w:firstLine="480"/>
        <w:rPr>
          <w:rFonts w:cs="Times New Roman"/>
        </w:rPr>
      </w:pPr>
      <w:r>
        <w:rPr>
          <w:rFonts w:eastAsia="楷体" w:cs="Times New Roman"/>
          <w:b/>
        </w:rPr>
        <w:t>4.</w:t>
      </w:r>
      <w:r>
        <w:rPr>
          <w:rFonts w:eastAsia="楷体" w:hAnsi="楷体" w:cs="Times New Roman"/>
          <w:b/>
        </w:rPr>
        <w:t>适应城乡公共服务均等化建设需要，兵团公交应发挥好带动作用。</w:t>
      </w:r>
      <w:r>
        <w:rPr>
          <w:rFonts w:cs="Times New Roman"/>
        </w:rPr>
        <w:t>建设资源共享、相互衔接、布局合理、方便快捷的城乡客运一体化服务网络，是推进城乡客运基本公共服务均等化的重要依托。兵团公交作为居民出行的最主要、最基本方式，应当发挥以城带乡作用，通过将公交服务逐步延伸到城市周边或团场区域，不断提升公交服务的广度和深度，全力带动城乡客运资源融合、服务衔接。</w:t>
      </w:r>
    </w:p>
    <w:p w:rsidR="00AA0CEC" w:rsidRDefault="00DA349F">
      <w:pPr>
        <w:pStyle w:val="2"/>
        <w:spacing w:line="480" w:lineRule="auto"/>
        <w:ind w:firstLine="602"/>
        <w:rPr>
          <w:rFonts w:ascii="Times New Roman" w:hAnsi="Times New Roman" w:cs="Times New Roman"/>
        </w:rPr>
      </w:pPr>
      <w:bookmarkStart w:id="4" w:name="_Toc454809979"/>
      <w:r>
        <w:rPr>
          <w:rFonts w:ascii="Times New Roman" w:hAnsi="Times New Roman" w:cs="Times New Roman"/>
        </w:rPr>
        <w:t>二、总体思路</w:t>
      </w:r>
      <w:bookmarkEnd w:id="4"/>
    </w:p>
    <w:p w:rsidR="00AA0CEC" w:rsidRDefault="00DA349F" w:rsidP="000256A0">
      <w:pPr>
        <w:pStyle w:val="3"/>
        <w:spacing w:line="480" w:lineRule="auto"/>
        <w:ind w:firstLine="560"/>
        <w:rPr>
          <w:rFonts w:cs="Times New Roman"/>
        </w:rPr>
      </w:pPr>
      <w:bookmarkStart w:id="5" w:name="_Toc454809980"/>
      <w:r>
        <w:rPr>
          <w:rFonts w:cs="Times New Roman"/>
        </w:rPr>
        <w:t>（一）指导思想</w:t>
      </w:r>
      <w:bookmarkEnd w:id="5"/>
    </w:p>
    <w:p w:rsidR="00AA0CEC" w:rsidRDefault="00DA349F">
      <w:pPr>
        <w:spacing w:line="480" w:lineRule="auto"/>
        <w:ind w:firstLineChars="200" w:firstLine="480"/>
        <w:rPr>
          <w:rFonts w:cs="Times New Roman"/>
        </w:rPr>
      </w:pPr>
      <w:r>
        <w:rPr>
          <w:rFonts w:cs="Times New Roman"/>
        </w:rPr>
        <w:t>紧紧围绕实现全面建成小康社会的奋斗目标，牢固树立</w:t>
      </w:r>
      <w:r>
        <w:rPr>
          <w:rFonts w:cs="Times New Roman" w:hint="eastAsia"/>
        </w:rPr>
        <w:t>“</w:t>
      </w:r>
      <w:r>
        <w:rPr>
          <w:rFonts w:cs="Times New Roman"/>
        </w:rPr>
        <w:t>创新、协调、绿色、开放、共享</w:t>
      </w:r>
      <w:r>
        <w:rPr>
          <w:rFonts w:cs="Times New Roman" w:hint="eastAsia"/>
        </w:rPr>
        <w:t>”</w:t>
      </w:r>
      <w:r>
        <w:rPr>
          <w:rFonts w:cs="Times New Roman"/>
        </w:rPr>
        <w:t>的发展理念，深入贯彻落实公交优先发展战略，以公交都市建设为抓手，以改革创新为动力，全力推进兵团公交体制机制改革和供给侧结构性改革，加快提升兵团公交引导发展能力、服务保障能力、可持续发展能力和综合治理能</w:t>
      </w:r>
      <w:r>
        <w:rPr>
          <w:rFonts w:cs="Times New Roman"/>
        </w:rPr>
        <w:lastRenderedPageBreak/>
        <w:t>力，努力打造高效便捷、安全舒适、经济可靠、绿色低碳的兵团公交系统，不断满足人民群众基本出行需要，实现好、维护好、发展好人民群众的基本出行权益。</w:t>
      </w:r>
    </w:p>
    <w:p w:rsidR="00AA0CEC" w:rsidRDefault="00DA349F" w:rsidP="000256A0">
      <w:pPr>
        <w:pStyle w:val="3"/>
        <w:spacing w:line="480" w:lineRule="auto"/>
        <w:ind w:firstLine="560"/>
        <w:rPr>
          <w:rFonts w:cs="Times New Roman"/>
        </w:rPr>
      </w:pPr>
      <w:bookmarkStart w:id="6" w:name="_Toc454809981"/>
      <w:r>
        <w:rPr>
          <w:rFonts w:cs="Times New Roman"/>
        </w:rPr>
        <w:t>（二）基本原则</w:t>
      </w:r>
      <w:bookmarkEnd w:id="6"/>
    </w:p>
    <w:p w:rsidR="00AA0CEC" w:rsidRDefault="00DA349F">
      <w:pPr>
        <w:spacing w:line="480" w:lineRule="auto"/>
        <w:ind w:firstLineChars="200" w:firstLine="480"/>
        <w:rPr>
          <w:rFonts w:cs="Times New Roman"/>
        </w:rPr>
      </w:pPr>
      <w:r>
        <w:rPr>
          <w:rFonts w:eastAsia="楷体" w:cs="Times New Roman"/>
        </w:rPr>
        <w:t>——</w:t>
      </w:r>
      <w:r>
        <w:rPr>
          <w:rFonts w:eastAsia="楷体" w:hAnsi="楷体" w:cs="Times New Roman"/>
          <w:b/>
        </w:rPr>
        <w:t>以人为本，提质增效。</w:t>
      </w:r>
      <w:r>
        <w:rPr>
          <w:rFonts w:cs="Times New Roman"/>
        </w:rPr>
        <w:t>坚持以公交优先促进公交优秀，不断提高兵团公交的吸引力与竞争力，让公众主动优选兵团公交出行；坚持绿色发展、安全发展、共享发展，有效发挥科技支撑作用，努力提升兵团公交系统的供给能力、服务质量和综合效能，缓解兵团交通拥堵和资源环境压力。</w:t>
      </w:r>
    </w:p>
    <w:p w:rsidR="00AA0CEC" w:rsidRDefault="00DA349F" w:rsidP="000256A0">
      <w:pPr>
        <w:spacing w:line="480" w:lineRule="auto"/>
        <w:ind w:firstLineChars="200" w:firstLine="480"/>
        <w:rPr>
          <w:rFonts w:cs="Times New Roman"/>
        </w:rPr>
      </w:pPr>
      <w:r>
        <w:rPr>
          <w:rFonts w:eastAsia="楷体" w:cs="Times New Roman"/>
          <w:b/>
        </w:rPr>
        <w:t>——</w:t>
      </w:r>
      <w:r>
        <w:rPr>
          <w:rFonts w:eastAsia="楷体" w:hAnsi="楷体" w:cs="Times New Roman"/>
          <w:b/>
        </w:rPr>
        <w:t>政府主导，市场运作。</w:t>
      </w:r>
      <w:r>
        <w:rPr>
          <w:rFonts w:cs="Times New Roman"/>
        </w:rPr>
        <w:t>坚持兵团公交的公益属性，落实兵团公交资源配置、服务质量监管、票制票价制定及调整等政府主导责任；落实兵团公交服务提供、安全生产、成本控制等企业主体责任，鼓励企业规模经营、适度竞争。推动兵团公交基础设施建设、维护与运营市场化改革。</w:t>
      </w:r>
    </w:p>
    <w:p w:rsidR="00AA0CEC" w:rsidRDefault="00DA349F" w:rsidP="000256A0">
      <w:pPr>
        <w:spacing w:line="480" w:lineRule="auto"/>
        <w:ind w:firstLineChars="200" w:firstLine="480"/>
        <w:rPr>
          <w:rFonts w:cs="Times New Roman"/>
        </w:rPr>
      </w:pPr>
      <w:r>
        <w:rPr>
          <w:rFonts w:eastAsia="楷体" w:cs="Times New Roman"/>
          <w:b/>
        </w:rPr>
        <w:t>——</w:t>
      </w:r>
      <w:r>
        <w:rPr>
          <w:rFonts w:eastAsia="楷体" w:hAnsi="楷体" w:cs="Times New Roman"/>
          <w:b/>
        </w:rPr>
        <w:t>规划引导，统筹发展。</w:t>
      </w:r>
      <w:r>
        <w:rPr>
          <w:rFonts w:cs="Times New Roman"/>
        </w:rPr>
        <w:t>科学编制兵团公交规划，加强兵团公交规划与兵团总体规划和控制性详细规划的衔接，充分发挥兵团公交对城市发展的引导作用。坚持以城带乡，统筹规划城乡及都市圈、兵团群公交发展，大力推进城乡客运基本公共服务均等化。</w:t>
      </w:r>
    </w:p>
    <w:p w:rsidR="00AA0CEC" w:rsidRDefault="00DA349F" w:rsidP="000256A0">
      <w:pPr>
        <w:spacing w:line="480" w:lineRule="auto"/>
        <w:ind w:firstLineChars="200" w:firstLine="480"/>
        <w:rPr>
          <w:rFonts w:cs="Times New Roman"/>
        </w:rPr>
      </w:pPr>
      <w:r>
        <w:rPr>
          <w:rFonts w:eastAsia="楷体" w:cs="Times New Roman"/>
          <w:b/>
        </w:rPr>
        <w:t>——</w:t>
      </w:r>
      <w:r>
        <w:rPr>
          <w:rFonts w:eastAsia="楷体" w:hAnsi="楷体" w:cs="Times New Roman"/>
          <w:b/>
        </w:rPr>
        <w:t>深化改革，依法治理。</w:t>
      </w:r>
      <w:r>
        <w:rPr>
          <w:rFonts w:cs="Times New Roman"/>
        </w:rPr>
        <w:t>加快行业管理体制机制改革，推进兵团公交票制票价、政府购买服务、用地综合开发等关键制度创新。完善行业综合治理体系，加强行业法规政策和标准规范体系建设，发挥中介组织作用，畅通社会监督渠道。</w:t>
      </w:r>
    </w:p>
    <w:p w:rsidR="00AA0CEC" w:rsidRDefault="00DA349F" w:rsidP="000256A0">
      <w:pPr>
        <w:spacing w:line="480" w:lineRule="auto"/>
        <w:ind w:firstLineChars="200" w:firstLine="480"/>
        <w:rPr>
          <w:rFonts w:cs="Times New Roman"/>
        </w:rPr>
      </w:pPr>
      <w:r>
        <w:rPr>
          <w:rFonts w:eastAsia="楷体" w:cs="Times New Roman"/>
          <w:b/>
        </w:rPr>
        <w:t>——</w:t>
      </w:r>
      <w:r>
        <w:rPr>
          <w:rFonts w:eastAsia="楷体" w:hAnsi="楷体" w:cs="Times New Roman"/>
          <w:b/>
        </w:rPr>
        <w:t>因地制宜，分类指导。</w:t>
      </w:r>
      <w:r>
        <w:rPr>
          <w:rFonts w:cs="Times New Roman"/>
        </w:rPr>
        <w:t>引导各师结合兵团规模、经济发展水平、资源环境条件、自然地理特点等因素，因地制宜选择兵团交通出行结构和公交发展模式。指导各师按照对兵团公交出行需求的差异，分类确定发展目标、发展重点和发展</w:t>
      </w:r>
      <w:r>
        <w:rPr>
          <w:rFonts w:cs="Times New Roman"/>
        </w:rPr>
        <w:lastRenderedPageBreak/>
        <w:t>政策。</w:t>
      </w:r>
    </w:p>
    <w:p w:rsidR="00AA0CEC" w:rsidRDefault="00DA349F" w:rsidP="000256A0">
      <w:pPr>
        <w:pStyle w:val="3"/>
        <w:spacing w:line="480" w:lineRule="auto"/>
        <w:ind w:firstLine="560"/>
        <w:rPr>
          <w:rFonts w:cs="Times New Roman"/>
        </w:rPr>
      </w:pPr>
      <w:bookmarkStart w:id="7" w:name="_Toc454809982"/>
      <w:r>
        <w:rPr>
          <w:rFonts w:cs="Times New Roman"/>
        </w:rPr>
        <w:t>（三）发展目标</w:t>
      </w:r>
      <w:bookmarkEnd w:id="7"/>
    </w:p>
    <w:p w:rsidR="00AA0CEC" w:rsidRDefault="00DA349F" w:rsidP="000256A0">
      <w:pPr>
        <w:spacing w:line="480" w:lineRule="auto"/>
        <w:ind w:firstLineChars="196" w:firstLine="471"/>
        <w:rPr>
          <w:rFonts w:eastAsia="楷体" w:cs="Times New Roman"/>
          <w:b/>
        </w:rPr>
      </w:pPr>
      <w:r>
        <w:rPr>
          <w:rFonts w:eastAsia="楷体" w:cs="Times New Roman"/>
          <w:b/>
        </w:rPr>
        <w:t>1.</w:t>
      </w:r>
      <w:r>
        <w:rPr>
          <w:rFonts w:eastAsia="楷体" w:hAnsi="楷体" w:cs="Times New Roman"/>
          <w:b/>
        </w:rPr>
        <w:t>发展愿景</w:t>
      </w:r>
    </w:p>
    <w:p w:rsidR="00AA0CEC" w:rsidRDefault="00DA349F">
      <w:pPr>
        <w:spacing w:line="480" w:lineRule="auto"/>
        <w:ind w:firstLineChars="200" w:firstLine="480"/>
        <w:rPr>
          <w:rFonts w:cs="Times New Roman"/>
        </w:rPr>
      </w:pPr>
      <w:r>
        <w:rPr>
          <w:rFonts w:cs="Times New Roman"/>
        </w:rPr>
        <w:t>兵团公共交通发展的愿景是全面建成适应经济社会发展和公众出行需要，与我国城市功能和城市形象相匹配的现代化城市公共交通体系。主要体现在：</w:t>
      </w:r>
    </w:p>
    <w:p w:rsidR="00AA0CEC" w:rsidRDefault="00DA349F" w:rsidP="000256A0">
      <w:pPr>
        <w:spacing w:line="480" w:lineRule="auto"/>
        <w:ind w:firstLineChars="200" w:firstLine="480"/>
        <w:rPr>
          <w:rFonts w:cs="Times New Roman"/>
        </w:rPr>
      </w:pPr>
      <w:r>
        <w:rPr>
          <w:rFonts w:eastAsia="楷体" w:cs="Times New Roman"/>
          <w:b/>
        </w:rPr>
        <w:t>——</w:t>
      </w:r>
      <w:r>
        <w:rPr>
          <w:rFonts w:eastAsia="楷体" w:hAnsi="楷体" w:cs="Times New Roman"/>
          <w:b/>
        </w:rPr>
        <w:t>群众出行满意。</w:t>
      </w:r>
      <w:r>
        <w:rPr>
          <w:rFonts w:cs="Times New Roman"/>
        </w:rPr>
        <w:t>实现兵团城乡客运基本公共服务均等化，群众出行更加高效便捷、安全舒适、经济可靠、绿色低碳、公共交通成为群众出行的优先选择。</w:t>
      </w:r>
    </w:p>
    <w:p w:rsidR="00AA0CEC" w:rsidRDefault="00DA349F" w:rsidP="000256A0">
      <w:pPr>
        <w:spacing w:line="480" w:lineRule="auto"/>
        <w:ind w:firstLineChars="200" w:firstLine="480"/>
        <w:rPr>
          <w:rFonts w:cs="Times New Roman"/>
        </w:rPr>
      </w:pPr>
      <w:r>
        <w:rPr>
          <w:rFonts w:eastAsia="楷体" w:cs="Times New Roman"/>
          <w:b/>
        </w:rPr>
        <w:t>——</w:t>
      </w:r>
      <w:r>
        <w:rPr>
          <w:rFonts w:eastAsia="楷体" w:hAnsi="楷体" w:cs="Times New Roman"/>
          <w:b/>
        </w:rPr>
        <w:t>行业发展可持续</w:t>
      </w:r>
      <w:r>
        <w:rPr>
          <w:rFonts w:cs="Times New Roman"/>
        </w:rPr>
        <w:t>。实现兵团公交综合治理体系和治理能力现代化；兵团公交对兵团空间结构和功能布局的引导作用充分发挥，成为兵团交通的主体，实现兵团公共资源利用效率与兵团交通承载力的科学匹配；公交企业实现规模化、集约化发展更具活力和竞争力，公交职工具有强烈的职业荣誉感和行业归属感。</w:t>
      </w:r>
    </w:p>
    <w:p w:rsidR="00AA0CEC" w:rsidRDefault="00DA349F" w:rsidP="000256A0">
      <w:pPr>
        <w:spacing w:line="480" w:lineRule="auto"/>
        <w:ind w:firstLineChars="199" w:firstLine="478"/>
        <w:rPr>
          <w:rFonts w:eastAsia="楷体" w:cs="Times New Roman"/>
          <w:b/>
        </w:rPr>
      </w:pPr>
      <w:r>
        <w:rPr>
          <w:rFonts w:eastAsia="楷体" w:cs="Times New Roman"/>
          <w:b/>
        </w:rPr>
        <w:t>2.</w:t>
      </w:r>
      <w:r>
        <w:rPr>
          <w:rFonts w:eastAsia="楷体" w:hAnsi="楷体" w:cs="Times New Roman"/>
          <w:b/>
        </w:rPr>
        <w:t>具体目标</w:t>
      </w:r>
    </w:p>
    <w:p w:rsidR="00AA0CEC" w:rsidRDefault="00DA349F">
      <w:pPr>
        <w:spacing w:line="480" w:lineRule="auto"/>
        <w:ind w:firstLineChars="200" w:firstLine="480"/>
        <w:rPr>
          <w:rFonts w:cs="Times New Roman"/>
        </w:rPr>
      </w:pPr>
      <w:r>
        <w:rPr>
          <w:rFonts w:cs="Times New Roman"/>
        </w:rPr>
        <w:t>到</w:t>
      </w:r>
      <w:r>
        <w:rPr>
          <w:rFonts w:cs="Times New Roman"/>
        </w:rPr>
        <w:t>2020</w:t>
      </w:r>
      <w:r>
        <w:rPr>
          <w:rFonts w:cs="Times New Roman"/>
        </w:rPr>
        <w:t>年，初步建成适应全面建成小康社会需求的现代化兵团公共交通体系。兵团公交行业体制机制改革深入推进，行</w:t>
      </w:r>
      <w:r>
        <w:rPr>
          <w:rFonts w:cs="Times New Roman" w:hint="eastAsia"/>
        </w:rPr>
        <w:t>业</w:t>
      </w:r>
      <w:r>
        <w:rPr>
          <w:rFonts w:cs="Times New Roman"/>
        </w:rPr>
        <w:t>服务针对性和精准性显著提升，优选公交成为出行习惯，广大群众出行更安全、更高效、更舒适、更便捷。</w:t>
      </w:r>
    </w:p>
    <w:p w:rsidR="00AA0CEC" w:rsidRDefault="00DA349F">
      <w:pPr>
        <w:spacing w:line="480" w:lineRule="auto"/>
        <w:ind w:firstLineChars="200" w:firstLine="480"/>
        <w:rPr>
          <w:rFonts w:cs="Times New Roman"/>
        </w:rPr>
      </w:pPr>
      <w:r>
        <w:rPr>
          <w:rFonts w:cs="Times New Roman"/>
        </w:rPr>
        <w:t>根据兵团各师对其进行分类，按照</w:t>
      </w:r>
      <w:r>
        <w:rPr>
          <w:rFonts w:cs="Times New Roman" w:hint="eastAsia"/>
        </w:rPr>
        <w:t>“</w:t>
      </w:r>
      <w:r>
        <w:rPr>
          <w:rFonts w:cs="Times New Roman"/>
        </w:rPr>
        <w:t>数据可采集、同类可比较、群众可感知原则</w:t>
      </w:r>
      <w:r>
        <w:rPr>
          <w:rFonts w:cs="Times New Roman" w:hint="eastAsia"/>
        </w:rPr>
        <w:t>”</w:t>
      </w:r>
      <w:r>
        <w:rPr>
          <w:rFonts w:cs="Times New Roman"/>
        </w:rPr>
        <w:t>，分别提出</w:t>
      </w:r>
      <w:r>
        <w:rPr>
          <w:rFonts w:cs="Times New Roman"/>
        </w:rPr>
        <w:t>“</w:t>
      </w:r>
      <w:r>
        <w:rPr>
          <w:rFonts w:cs="Times New Roman"/>
        </w:rPr>
        <w:t>十三五</w:t>
      </w:r>
      <w:r>
        <w:rPr>
          <w:rFonts w:cs="Times New Roman"/>
        </w:rPr>
        <w:t>”</w:t>
      </w:r>
      <w:r>
        <w:rPr>
          <w:rFonts w:cs="Times New Roman"/>
        </w:rPr>
        <w:t>期各类城市公交发展指标（相关指标说明详见附件</w:t>
      </w:r>
      <w:r>
        <w:rPr>
          <w:rFonts w:cs="Times New Roman" w:hint="eastAsia"/>
        </w:rPr>
        <w:t>1</w:t>
      </w:r>
      <w:r>
        <w:rPr>
          <w:rFonts w:cs="Times New Roman" w:hint="eastAsia"/>
        </w:rPr>
        <w:t>，公交发展目标表</w:t>
      </w:r>
      <w:r>
        <w:rPr>
          <w:rFonts w:cs="Times New Roman"/>
        </w:rPr>
        <w:t>见</w:t>
      </w:r>
      <w:r>
        <w:rPr>
          <w:rFonts w:cs="Times New Roman" w:hint="eastAsia"/>
        </w:rPr>
        <w:t>附件</w:t>
      </w:r>
      <w:r>
        <w:rPr>
          <w:rFonts w:cs="Times New Roman" w:hint="eastAsia"/>
        </w:rPr>
        <w:t>2</w:t>
      </w:r>
      <w:r>
        <w:rPr>
          <w:rFonts w:cs="Times New Roman" w:hint="eastAsia"/>
        </w:rPr>
        <w:t>附表</w:t>
      </w:r>
      <w:r>
        <w:rPr>
          <w:rFonts w:cs="Times New Roman" w:hint="eastAsia"/>
        </w:rPr>
        <w:t>1</w:t>
      </w:r>
      <w:r>
        <w:rPr>
          <w:rFonts w:cs="Times New Roman" w:hint="eastAsia"/>
        </w:rPr>
        <w:t>所示</w:t>
      </w:r>
      <w:r>
        <w:rPr>
          <w:rFonts w:cs="Times New Roman"/>
        </w:rPr>
        <w:t>）。</w:t>
      </w:r>
    </w:p>
    <w:p w:rsidR="00AA0CEC" w:rsidRDefault="00DA349F">
      <w:pPr>
        <w:pStyle w:val="2"/>
        <w:spacing w:line="480" w:lineRule="auto"/>
        <w:ind w:firstLine="602"/>
        <w:rPr>
          <w:rFonts w:ascii="Times New Roman" w:hAnsi="Times New Roman" w:cs="Times New Roman"/>
        </w:rPr>
      </w:pPr>
      <w:bookmarkStart w:id="8" w:name="_Toc454809983"/>
      <w:r>
        <w:rPr>
          <w:rFonts w:ascii="Times New Roman" w:hAnsi="Times New Roman" w:cs="Times New Roman"/>
        </w:rPr>
        <w:lastRenderedPageBreak/>
        <w:t>三、全面推进公交都市建设</w:t>
      </w:r>
      <w:bookmarkEnd w:id="8"/>
    </w:p>
    <w:p w:rsidR="00AA0CEC" w:rsidRDefault="00DA349F" w:rsidP="000256A0">
      <w:pPr>
        <w:pStyle w:val="3"/>
        <w:spacing w:line="480" w:lineRule="auto"/>
        <w:ind w:firstLine="560"/>
        <w:rPr>
          <w:rFonts w:cs="Times New Roman"/>
        </w:rPr>
      </w:pPr>
      <w:bookmarkStart w:id="9" w:name="_Toc454809984"/>
      <w:r>
        <w:rPr>
          <w:rFonts w:cs="Times New Roman"/>
        </w:rPr>
        <w:t>（一）建立公交引导兵团发展新机制</w:t>
      </w:r>
      <w:bookmarkEnd w:id="9"/>
    </w:p>
    <w:p w:rsidR="00AA0CEC" w:rsidRDefault="00DA349F">
      <w:pPr>
        <w:spacing w:line="480" w:lineRule="auto"/>
        <w:ind w:firstLineChars="200" w:firstLine="480"/>
        <w:rPr>
          <w:rFonts w:cs="Times New Roman"/>
        </w:rPr>
      </w:pPr>
      <w:r>
        <w:rPr>
          <w:rFonts w:cs="Times New Roman"/>
        </w:rPr>
        <w:t>全面推进公交都市建设，引导建立兵团公共交通规划与总体规划全过程的协同工作机制，增强兵团公交对兵团发展的引导作用。加快建立健全</w:t>
      </w:r>
      <w:r>
        <w:rPr>
          <w:rFonts w:cs="Times New Roman" w:hint="eastAsia"/>
        </w:rPr>
        <w:t>多部分</w:t>
      </w:r>
      <w:r>
        <w:rPr>
          <w:rFonts w:cs="Times New Roman"/>
        </w:rPr>
        <w:t>共同参与的兵团公共交通规划协调和落实机制，以兵团公交</w:t>
      </w:r>
      <w:r>
        <w:rPr>
          <w:rFonts w:cs="Times New Roman" w:hint="eastAsia"/>
        </w:rPr>
        <w:t>“</w:t>
      </w:r>
      <w:r>
        <w:rPr>
          <w:rFonts w:cs="Times New Roman"/>
        </w:rPr>
        <w:t>一张网</w:t>
      </w:r>
      <w:r>
        <w:rPr>
          <w:rFonts w:cs="Times New Roman" w:hint="eastAsia"/>
        </w:rPr>
        <w:t>”</w:t>
      </w:r>
      <w:r>
        <w:rPr>
          <w:rFonts w:cs="Times New Roman"/>
        </w:rPr>
        <w:t>的理念，对公共汽电车进行统一规划、统筹建设和运营管理，确保相互衔接、协同服务。</w:t>
      </w:r>
    </w:p>
    <w:p w:rsidR="00AA0CEC" w:rsidRDefault="00DA349F" w:rsidP="000256A0">
      <w:pPr>
        <w:pStyle w:val="3"/>
        <w:spacing w:line="480" w:lineRule="auto"/>
        <w:ind w:firstLine="560"/>
        <w:rPr>
          <w:rStyle w:val="4Char"/>
          <w:rFonts w:ascii="Times New Roman" w:hAnsi="Times New Roman" w:cs="Times New Roman"/>
        </w:rPr>
      </w:pPr>
      <w:bookmarkStart w:id="10" w:name="_Toc454809985"/>
      <w:r>
        <w:rPr>
          <w:rFonts w:cs="Times New Roman"/>
        </w:rPr>
        <w:t>（二）总结推广公交都市建设工作经验</w:t>
      </w:r>
      <w:bookmarkEnd w:id="10"/>
    </w:p>
    <w:p w:rsidR="00AA0CEC" w:rsidRDefault="00DA349F">
      <w:pPr>
        <w:spacing w:line="480" w:lineRule="auto"/>
        <w:ind w:firstLineChars="200" w:firstLine="480"/>
        <w:rPr>
          <w:rFonts w:cs="Times New Roman"/>
        </w:rPr>
      </w:pPr>
      <w:r>
        <w:rPr>
          <w:rFonts w:cs="Times New Roman"/>
        </w:rPr>
        <w:t>总结公交都市在城市公交规划、建设、运营、管理等方面的成功案例和经验，并通过编制发放案例资料、组织交流宣讲等方式，在兵团范围内推广应用，实现公交优先发展分类推进、共同提升。</w:t>
      </w:r>
    </w:p>
    <w:p w:rsidR="00AA0CEC" w:rsidRDefault="00DA349F" w:rsidP="000256A0">
      <w:pPr>
        <w:pStyle w:val="3"/>
        <w:spacing w:line="480" w:lineRule="auto"/>
        <w:ind w:firstLine="560"/>
        <w:rPr>
          <w:rFonts w:cs="Times New Roman"/>
        </w:rPr>
      </w:pPr>
      <w:bookmarkStart w:id="11" w:name="_Toc454809986"/>
      <w:r>
        <w:rPr>
          <w:rFonts w:cs="Times New Roman"/>
        </w:rPr>
        <w:t>（三）丰富公交都市建设内涵</w:t>
      </w:r>
      <w:bookmarkEnd w:id="11"/>
    </w:p>
    <w:p w:rsidR="00AA0CEC" w:rsidRDefault="00DA349F">
      <w:pPr>
        <w:spacing w:line="480" w:lineRule="auto"/>
        <w:ind w:firstLineChars="200" w:firstLine="480"/>
        <w:rPr>
          <w:rFonts w:cs="Times New Roman"/>
        </w:rPr>
      </w:pPr>
      <w:r>
        <w:rPr>
          <w:rFonts w:cs="Times New Roman"/>
        </w:rPr>
        <w:t>围绕规划引领、智能公交、快速通勤、综合衔接、绿色出行和交通一体化等方面，重点面向兵团城市，兼顾团场发展，分主题、分类型进行建设。</w:t>
      </w:r>
    </w:p>
    <w:tbl>
      <w:tblPr>
        <w:tblStyle w:val="a9"/>
        <w:tblW w:w="8522" w:type="dxa"/>
        <w:tblLayout w:type="fixed"/>
        <w:tblLook w:val="04A0"/>
      </w:tblPr>
      <w:tblGrid>
        <w:gridCol w:w="8522"/>
      </w:tblGrid>
      <w:tr w:rsidR="00AA0CEC">
        <w:tc>
          <w:tcPr>
            <w:tcW w:w="8522" w:type="dxa"/>
          </w:tcPr>
          <w:p w:rsidR="00AA0CEC" w:rsidRDefault="00DA349F">
            <w:pPr>
              <w:spacing w:line="480" w:lineRule="auto"/>
              <w:rPr>
                <w:rFonts w:eastAsia="黑体" w:cs="Times New Roman"/>
                <w:b/>
                <w:sz w:val="21"/>
                <w:szCs w:val="21"/>
              </w:rPr>
            </w:pPr>
            <w:r>
              <w:rPr>
                <w:rFonts w:eastAsia="黑体" w:cs="Times New Roman"/>
                <w:b/>
                <w:sz w:val="21"/>
                <w:szCs w:val="21"/>
              </w:rPr>
              <w:t>公交都市建设专项行动</w:t>
            </w:r>
          </w:p>
          <w:p w:rsidR="00AA0CEC" w:rsidRDefault="00DA349F" w:rsidP="000256A0">
            <w:pPr>
              <w:spacing w:line="480" w:lineRule="auto"/>
              <w:ind w:firstLineChars="200" w:firstLine="420"/>
              <w:rPr>
                <w:rFonts w:cs="Times New Roman"/>
                <w:sz w:val="21"/>
                <w:szCs w:val="21"/>
              </w:rPr>
            </w:pPr>
            <w:r>
              <w:rPr>
                <w:rFonts w:eastAsia="仿宋" w:cs="Times New Roman"/>
                <w:b/>
                <w:sz w:val="21"/>
                <w:szCs w:val="21"/>
              </w:rPr>
              <w:t>1.</w:t>
            </w:r>
            <w:r>
              <w:rPr>
                <w:rFonts w:eastAsia="仿宋" w:cs="Times New Roman"/>
                <w:b/>
                <w:sz w:val="21"/>
                <w:szCs w:val="21"/>
              </w:rPr>
              <w:t>扩大建设范围。</w:t>
            </w:r>
            <w:r>
              <w:rPr>
                <w:rFonts w:eastAsia="仿宋" w:cs="Times New Roman" w:hint="eastAsia"/>
                <w:b/>
                <w:sz w:val="21"/>
                <w:szCs w:val="21"/>
              </w:rPr>
              <w:t>“</w:t>
            </w:r>
            <w:r>
              <w:rPr>
                <w:rFonts w:eastAsia="仿宋" w:cs="Times New Roman"/>
                <w:b/>
                <w:sz w:val="21"/>
                <w:szCs w:val="21"/>
              </w:rPr>
              <w:t>十三五</w:t>
            </w:r>
            <w:r>
              <w:rPr>
                <w:rFonts w:eastAsia="仿宋" w:cs="Times New Roman" w:hint="eastAsia"/>
                <w:b/>
                <w:sz w:val="21"/>
                <w:szCs w:val="21"/>
              </w:rPr>
              <w:t>”</w:t>
            </w:r>
            <w:r>
              <w:rPr>
                <w:rFonts w:eastAsia="仿宋" w:cs="Times New Roman"/>
                <w:b/>
                <w:sz w:val="21"/>
                <w:szCs w:val="21"/>
              </w:rPr>
              <w:t>期，全面推进兵团公交都市建设专项行动，交通运输部对各公交都市建设城市给予支持。通过</w:t>
            </w:r>
            <w:r>
              <w:rPr>
                <w:rFonts w:eastAsia="仿宋" w:cs="Times New Roman"/>
                <w:b/>
                <w:sz w:val="21"/>
                <w:szCs w:val="21"/>
              </w:rPr>
              <w:t>5</w:t>
            </w:r>
            <w:r>
              <w:rPr>
                <w:rFonts w:eastAsia="仿宋" w:cs="Times New Roman"/>
                <w:b/>
                <w:sz w:val="21"/>
                <w:szCs w:val="21"/>
              </w:rPr>
              <w:t>年左右的建设，实现中心城区</w:t>
            </w:r>
            <w:r>
              <w:rPr>
                <w:rFonts w:eastAsia="仿宋" w:cs="Times New Roman"/>
                <w:b/>
                <w:sz w:val="21"/>
                <w:szCs w:val="21"/>
              </w:rPr>
              <w:t>500</w:t>
            </w:r>
            <w:r>
              <w:rPr>
                <w:rFonts w:eastAsia="仿宋" w:cs="Times New Roman"/>
                <w:b/>
                <w:sz w:val="21"/>
                <w:szCs w:val="21"/>
              </w:rPr>
              <w:t>米上车，城市交通绿色出行比例达到</w:t>
            </w:r>
            <w:r>
              <w:rPr>
                <w:rFonts w:eastAsia="仿宋" w:cs="Times New Roman"/>
                <w:b/>
                <w:sz w:val="21"/>
                <w:szCs w:val="21"/>
              </w:rPr>
              <w:t>75%</w:t>
            </w:r>
            <w:r>
              <w:rPr>
                <w:rFonts w:eastAsia="仿宋" w:cs="Times New Roman"/>
                <w:b/>
                <w:sz w:val="21"/>
                <w:szCs w:val="21"/>
              </w:rPr>
              <w:t>以上。</w:t>
            </w:r>
          </w:p>
          <w:p w:rsidR="00AA0CEC" w:rsidRDefault="00DA349F" w:rsidP="000256A0">
            <w:pPr>
              <w:spacing w:line="480" w:lineRule="auto"/>
              <w:ind w:firstLineChars="200" w:firstLine="420"/>
              <w:rPr>
                <w:rFonts w:eastAsia="仿宋" w:cs="Times New Roman"/>
                <w:b/>
                <w:sz w:val="21"/>
                <w:szCs w:val="21"/>
              </w:rPr>
            </w:pPr>
            <w:r>
              <w:rPr>
                <w:rFonts w:eastAsia="仿宋" w:cs="Times New Roman"/>
                <w:b/>
                <w:sz w:val="21"/>
                <w:szCs w:val="21"/>
              </w:rPr>
              <w:t>2.</w:t>
            </w:r>
            <w:r>
              <w:rPr>
                <w:rFonts w:eastAsia="仿宋" w:cs="Times New Roman" w:hint="eastAsia"/>
                <w:b/>
                <w:sz w:val="21"/>
                <w:szCs w:val="21"/>
              </w:rPr>
              <w:t>新能源城市公交车</w:t>
            </w:r>
            <w:r>
              <w:rPr>
                <w:rFonts w:eastAsia="仿宋" w:cs="Times New Roman"/>
                <w:b/>
                <w:sz w:val="21"/>
                <w:szCs w:val="21"/>
              </w:rPr>
              <w:t>推广应用。指导兵团建设公交都市按照</w:t>
            </w:r>
            <w:r>
              <w:rPr>
                <w:rFonts w:eastAsia="仿宋" w:cs="Times New Roman"/>
                <w:b/>
                <w:sz w:val="21"/>
                <w:szCs w:val="21"/>
              </w:rPr>
              <w:t>“</w:t>
            </w:r>
            <w:r>
              <w:rPr>
                <w:rFonts w:eastAsia="仿宋" w:cs="Times New Roman"/>
                <w:b/>
                <w:sz w:val="21"/>
                <w:szCs w:val="21"/>
              </w:rPr>
              <w:t>统筹规划、分步实施</w:t>
            </w:r>
            <w:r>
              <w:rPr>
                <w:rFonts w:eastAsia="仿宋" w:cs="Times New Roman"/>
                <w:b/>
                <w:sz w:val="21"/>
                <w:szCs w:val="21"/>
              </w:rPr>
              <w:t>”</w:t>
            </w:r>
            <w:r>
              <w:rPr>
                <w:rFonts w:eastAsia="仿宋" w:cs="Times New Roman"/>
                <w:b/>
                <w:sz w:val="21"/>
                <w:szCs w:val="21"/>
              </w:rPr>
              <w:t>的原则，编制新能源城市公交车推广应用实施方案。创新推广应用模式，鼓励</w:t>
            </w:r>
            <w:r>
              <w:rPr>
                <w:rFonts w:eastAsia="仿宋" w:cs="Times New Roman" w:hint="eastAsia"/>
                <w:b/>
                <w:sz w:val="21"/>
                <w:szCs w:val="21"/>
              </w:rPr>
              <w:t>“</w:t>
            </w:r>
            <w:r>
              <w:rPr>
                <w:rFonts w:eastAsia="仿宋" w:cs="Times New Roman"/>
                <w:b/>
                <w:sz w:val="21"/>
                <w:szCs w:val="21"/>
              </w:rPr>
              <w:t>融资租赁</w:t>
            </w:r>
            <w:r>
              <w:rPr>
                <w:rFonts w:eastAsia="仿宋" w:cs="Times New Roman" w:hint="eastAsia"/>
                <w:b/>
                <w:sz w:val="21"/>
                <w:szCs w:val="21"/>
              </w:rPr>
              <w:t>”</w:t>
            </w:r>
            <w:r>
              <w:rPr>
                <w:rFonts w:eastAsia="仿宋" w:cs="Times New Roman"/>
                <w:b/>
                <w:sz w:val="21"/>
                <w:szCs w:val="21"/>
              </w:rPr>
              <w:t>、</w:t>
            </w:r>
            <w:r>
              <w:rPr>
                <w:rFonts w:eastAsia="仿宋" w:cs="Times New Roman" w:hint="eastAsia"/>
                <w:b/>
                <w:sz w:val="21"/>
                <w:szCs w:val="21"/>
              </w:rPr>
              <w:t>“</w:t>
            </w:r>
            <w:r>
              <w:rPr>
                <w:rFonts w:eastAsia="仿宋" w:cs="Times New Roman"/>
                <w:b/>
                <w:sz w:val="21"/>
                <w:szCs w:val="21"/>
              </w:rPr>
              <w:t>车电</w:t>
            </w:r>
            <w:r>
              <w:rPr>
                <w:rFonts w:eastAsia="仿宋" w:cs="Times New Roman"/>
                <w:b/>
                <w:sz w:val="21"/>
                <w:szCs w:val="21"/>
              </w:rPr>
              <w:lastRenderedPageBreak/>
              <w:t>分离</w:t>
            </w:r>
            <w:r>
              <w:rPr>
                <w:rFonts w:eastAsia="仿宋" w:cs="Times New Roman" w:hint="eastAsia"/>
                <w:b/>
                <w:sz w:val="21"/>
                <w:szCs w:val="21"/>
              </w:rPr>
              <w:t>”</w:t>
            </w:r>
            <w:r>
              <w:rPr>
                <w:rFonts w:eastAsia="仿宋" w:cs="Times New Roman"/>
                <w:b/>
                <w:sz w:val="21"/>
                <w:szCs w:val="21"/>
              </w:rPr>
              <w:t>和</w:t>
            </w:r>
            <w:r>
              <w:rPr>
                <w:rFonts w:eastAsia="仿宋" w:cs="Times New Roman" w:hint="eastAsia"/>
                <w:b/>
                <w:sz w:val="21"/>
                <w:szCs w:val="21"/>
              </w:rPr>
              <w:t>“</w:t>
            </w:r>
            <w:r>
              <w:rPr>
                <w:rFonts w:eastAsia="仿宋" w:cs="Times New Roman"/>
                <w:b/>
                <w:sz w:val="21"/>
                <w:szCs w:val="21"/>
              </w:rPr>
              <w:t>以租代售</w:t>
            </w:r>
            <w:r>
              <w:rPr>
                <w:rFonts w:eastAsia="仿宋" w:cs="Times New Roman" w:hint="eastAsia"/>
                <w:b/>
                <w:sz w:val="21"/>
                <w:szCs w:val="21"/>
              </w:rPr>
              <w:t>”</w:t>
            </w:r>
            <w:r>
              <w:rPr>
                <w:rFonts w:eastAsia="仿宋" w:cs="Times New Roman"/>
                <w:b/>
                <w:sz w:val="21"/>
                <w:szCs w:val="21"/>
              </w:rPr>
              <w:t>等多种运营模式先行先试，分类推广。到</w:t>
            </w:r>
            <w:r>
              <w:rPr>
                <w:rFonts w:eastAsia="仿宋" w:cs="Times New Roman"/>
                <w:b/>
                <w:sz w:val="21"/>
                <w:szCs w:val="21"/>
              </w:rPr>
              <w:t>2020</w:t>
            </w:r>
            <w:r>
              <w:rPr>
                <w:rFonts w:eastAsia="仿宋" w:cs="Times New Roman"/>
                <w:b/>
                <w:sz w:val="21"/>
                <w:szCs w:val="21"/>
              </w:rPr>
              <w:t>年，公交都市建设</w:t>
            </w:r>
            <w:r>
              <w:rPr>
                <w:rFonts w:eastAsia="仿宋" w:cs="Times New Roman" w:hint="eastAsia"/>
                <w:b/>
                <w:sz w:val="21"/>
                <w:szCs w:val="21"/>
              </w:rPr>
              <w:t>城市新能源公交车</w:t>
            </w:r>
            <w:r>
              <w:rPr>
                <w:rFonts w:eastAsia="仿宋" w:cs="Times New Roman"/>
                <w:b/>
                <w:sz w:val="21"/>
                <w:szCs w:val="21"/>
              </w:rPr>
              <w:t>比例不低于</w:t>
            </w:r>
            <w:r>
              <w:rPr>
                <w:rFonts w:eastAsia="仿宋" w:cs="Times New Roman"/>
                <w:b/>
                <w:sz w:val="21"/>
                <w:szCs w:val="21"/>
              </w:rPr>
              <w:t>35%</w:t>
            </w:r>
            <w:r>
              <w:rPr>
                <w:rFonts w:eastAsia="仿宋" w:cs="Times New Roman"/>
                <w:b/>
                <w:sz w:val="21"/>
                <w:szCs w:val="21"/>
              </w:rPr>
              <w:t>。</w:t>
            </w:r>
          </w:p>
          <w:p w:rsidR="00AA0CEC" w:rsidRDefault="00DA349F" w:rsidP="000256A0">
            <w:pPr>
              <w:spacing w:line="480" w:lineRule="auto"/>
              <w:ind w:firstLineChars="200" w:firstLine="420"/>
              <w:rPr>
                <w:rFonts w:cs="Times New Roman"/>
                <w:sz w:val="21"/>
                <w:szCs w:val="21"/>
              </w:rPr>
            </w:pPr>
            <w:r>
              <w:rPr>
                <w:rFonts w:eastAsia="仿宋" w:cs="Times New Roman"/>
                <w:b/>
                <w:sz w:val="21"/>
                <w:szCs w:val="21"/>
              </w:rPr>
              <w:t>3.</w:t>
            </w:r>
            <w:r>
              <w:rPr>
                <w:rFonts w:eastAsia="仿宋" w:cs="Times New Roman" w:hint="eastAsia"/>
                <w:b/>
                <w:sz w:val="21"/>
                <w:szCs w:val="21"/>
              </w:rPr>
              <w:t>“</w:t>
            </w:r>
            <w:r>
              <w:rPr>
                <w:rFonts w:eastAsia="仿宋" w:cs="Times New Roman"/>
                <w:b/>
                <w:sz w:val="21"/>
                <w:szCs w:val="21"/>
              </w:rPr>
              <w:t>互联网</w:t>
            </w:r>
            <w:r>
              <w:rPr>
                <w:rFonts w:eastAsia="仿宋" w:cs="Times New Roman"/>
                <w:b/>
                <w:sz w:val="21"/>
                <w:szCs w:val="21"/>
              </w:rPr>
              <w:t>+</w:t>
            </w:r>
            <w:r>
              <w:rPr>
                <w:rFonts w:eastAsia="仿宋" w:cs="Times New Roman"/>
                <w:b/>
                <w:sz w:val="21"/>
                <w:szCs w:val="21"/>
              </w:rPr>
              <w:t>兵团公交</w:t>
            </w:r>
            <w:r>
              <w:rPr>
                <w:rFonts w:eastAsia="仿宋" w:cs="Times New Roman" w:hint="eastAsia"/>
                <w:b/>
                <w:sz w:val="21"/>
                <w:szCs w:val="21"/>
              </w:rPr>
              <w:t>”</w:t>
            </w:r>
            <w:r>
              <w:rPr>
                <w:rFonts w:eastAsia="仿宋" w:cs="Times New Roman"/>
                <w:b/>
                <w:sz w:val="21"/>
                <w:szCs w:val="21"/>
              </w:rPr>
              <w:t>发展。指导兵团编制</w:t>
            </w:r>
            <w:r>
              <w:rPr>
                <w:rFonts w:eastAsia="仿宋" w:cs="Times New Roman" w:hint="eastAsia"/>
                <w:b/>
                <w:sz w:val="21"/>
                <w:szCs w:val="21"/>
              </w:rPr>
              <w:t>“</w:t>
            </w:r>
            <w:r>
              <w:rPr>
                <w:rFonts w:eastAsia="仿宋" w:cs="Times New Roman"/>
                <w:b/>
                <w:sz w:val="21"/>
                <w:szCs w:val="21"/>
              </w:rPr>
              <w:t>互联网</w:t>
            </w:r>
            <w:r>
              <w:rPr>
                <w:rFonts w:eastAsia="仿宋" w:cs="Times New Roman"/>
                <w:b/>
                <w:sz w:val="21"/>
                <w:szCs w:val="21"/>
              </w:rPr>
              <w:t>+</w:t>
            </w:r>
            <w:r>
              <w:rPr>
                <w:rFonts w:eastAsia="仿宋" w:cs="Times New Roman"/>
                <w:b/>
                <w:sz w:val="21"/>
                <w:szCs w:val="21"/>
              </w:rPr>
              <w:t>城市公交</w:t>
            </w:r>
            <w:r>
              <w:rPr>
                <w:rFonts w:eastAsia="仿宋" w:cs="Times New Roman" w:hint="eastAsia"/>
                <w:b/>
                <w:sz w:val="21"/>
                <w:szCs w:val="21"/>
              </w:rPr>
              <w:t>”</w:t>
            </w:r>
            <w:r>
              <w:rPr>
                <w:rFonts w:eastAsia="仿宋" w:cs="Times New Roman"/>
                <w:b/>
                <w:sz w:val="21"/>
                <w:szCs w:val="21"/>
              </w:rPr>
              <w:t>行动计划，推动利用互联网整合兵团公交运输资源，发展定制公交等新型服务模式，提供丰富的公众出行信息服务，并通过大数据采集和分析为公交规划、决策及运营管理等方面提供支撑。</w:t>
            </w:r>
          </w:p>
        </w:tc>
      </w:tr>
    </w:tbl>
    <w:p w:rsidR="00BF6A1B" w:rsidRDefault="00BF6A1B" w:rsidP="00A275C3">
      <w:pPr>
        <w:pStyle w:val="2"/>
        <w:ind w:firstLine="602"/>
      </w:pPr>
      <w:bookmarkStart w:id="12" w:name="_Toc454809987"/>
      <w:r>
        <w:rPr>
          <w:rFonts w:hint="eastAsia"/>
        </w:rPr>
        <w:lastRenderedPageBreak/>
        <w:t>四</w:t>
      </w:r>
      <w:r>
        <w:t>、全面提升兵团公交服务品质</w:t>
      </w:r>
      <w:bookmarkEnd w:id="12"/>
    </w:p>
    <w:p w:rsidR="00BF6A1B" w:rsidRDefault="00BF6A1B" w:rsidP="00BF6A1B">
      <w:pPr>
        <w:autoSpaceDE w:val="0"/>
        <w:adjustRightInd w:val="0"/>
        <w:snapToGrid w:val="0"/>
        <w:spacing w:line="480" w:lineRule="auto"/>
        <w:ind w:firstLineChars="200" w:firstLine="480"/>
      </w:pPr>
      <w:r>
        <w:rPr>
          <w:rFonts w:cs="Times New Roman" w:hint="eastAsia"/>
          <w:szCs w:val="24"/>
        </w:rPr>
        <w:t>兵团包含兵团城市和兵团团场两部分，兵团公共交通的发展水平，相对兵团经济的发展而滞后，目前兵团公交的服务水平还处于初级阶段，为响应国家</w:t>
      </w:r>
      <w:r>
        <w:rPr>
          <w:rFonts w:cs="Times New Roman" w:hint="eastAsia"/>
          <w:b/>
          <w:szCs w:val="24"/>
        </w:rPr>
        <w:t>“公交优先”</w:t>
      </w:r>
      <w:r>
        <w:rPr>
          <w:rFonts w:cs="Times New Roman" w:hint="eastAsia"/>
          <w:szCs w:val="24"/>
        </w:rPr>
        <w:t>的发展战略，结合兵团的实际情况，现通过方便性、迅捷性、准时性、舒适性和经济性等五个方面，对兵团公共交通应具有的服务水平进行分析。</w:t>
      </w:r>
    </w:p>
    <w:p w:rsidR="00BF6A1B" w:rsidRDefault="00BF6A1B" w:rsidP="000256A0">
      <w:pPr>
        <w:pStyle w:val="3"/>
        <w:spacing w:line="480" w:lineRule="auto"/>
        <w:ind w:firstLine="560"/>
        <w:rPr>
          <w:rFonts w:cs="Times New Roman"/>
        </w:rPr>
      </w:pPr>
      <w:bookmarkStart w:id="13" w:name="_Toc454809988"/>
      <w:r>
        <w:rPr>
          <w:rFonts w:cs="Times New Roman"/>
        </w:rPr>
        <w:t>（一）提升公交出行</w:t>
      </w:r>
      <w:r>
        <w:rPr>
          <w:rFonts w:cs="Times New Roman" w:hint="eastAsia"/>
        </w:rPr>
        <w:t>便</w:t>
      </w:r>
      <w:r>
        <w:rPr>
          <w:rFonts w:cs="Times New Roman"/>
        </w:rPr>
        <w:t>捷性</w:t>
      </w:r>
      <w:bookmarkEnd w:id="13"/>
    </w:p>
    <w:p w:rsidR="00BF6A1B" w:rsidRDefault="00BF6A1B" w:rsidP="00BF6A1B">
      <w:pPr>
        <w:adjustRightInd w:val="0"/>
        <w:snapToGrid w:val="0"/>
        <w:spacing w:line="480" w:lineRule="auto"/>
        <w:ind w:firstLineChars="176" w:firstLine="422"/>
        <w:rPr>
          <w:rFonts w:cs="Times New Roman"/>
        </w:rPr>
      </w:pPr>
      <w:r>
        <w:rPr>
          <w:rFonts w:cs="Times New Roman"/>
        </w:rPr>
        <w:t>构建兵团公交快速通勤系统，如新疆首府乌鲁木齐</w:t>
      </w:r>
      <w:r>
        <w:rPr>
          <w:rFonts w:cs="Times New Roman"/>
        </w:rPr>
        <w:t>2011</w:t>
      </w:r>
      <w:r>
        <w:rPr>
          <w:rFonts w:cs="Times New Roman"/>
        </w:rPr>
        <w:t>年至今建设了多条快速公交线路（</w:t>
      </w:r>
      <w:r>
        <w:rPr>
          <w:rFonts w:cs="Times New Roman"/>
        </w:rPr>
        <w:t>BRT</w:t>
      </w:r>
      <w:r>
        <w:rPr>
          <w:rFonts w:cs="Times New Roman"/>
        </w:rPr>
        <w:t>），快速公交系统拥有独立的分离式行车道、独立控制的信号灯和独立港湾，与其他车辆分开行驶，行驶速度快，除路口信号灯，基本不受高峰期或其他车辆因素的影响，是最方便快捷的地面无轨交通方式。加快推进兵团轨道交通建设，根据客流需求选择合适的城市轨道交通制式，鼓励采用政府和社会资本合作</w:t>
      </w:r>
      <w:r>
        <w:rPr>
          <w:rFonts w:cs="Times New Roman"/>
          <w:b/>
        </w:rPr>
        <w:t>（</w:t>
      </w:r>
      <w:r>
        <w:rPr>
          <w:rFonts w:cs="Times New Roman"/>
          <w:b/>
        </w:rPr>
        <w:t>PPP</w:t>
      </w:r>
      <w:r>
        <w:rPr>
          <w:rFonts w:cs="Times New Roman"/>
          <w:b/>
        </w:rPr>
        <w:t>）</w:t>
      </w:r>
      <w:r>
        <w:rPr>
          <w:rFonts w:cs="Times New Roman"/>
        </w:rPr>
        <w:t>投融资模式进行建设和运营管理。按照公交专用道设置条件等国家标准要求，合理制定并有效落实公交专用道规划，推动公交专用道连续、成网</w:t>
      </w:r>
      <w:r>
        <w:rPr>
          <w:rFonts w:cs="Times New Roman" w:hint="eastAsia"/>
        </w:rPr>
        <w:t>（见附件</w:t>
      </w:r>
      <w:r>
        <w:rPr>
          <w:rFonts w:cs="Times New Roman" w:hint="eastAsia"/>
        </w:rPr>
        <w:t>3</w:t>
      </w:r>
      <w:r>
        <w:rPr>
          <w:rFonts w:cs="Times New Roman" w:hint="eastAsia"/>
        </w:rPr>
        <w:t>附图</w:t>
      </w:r>
      <w:r w:rsidR="00D61AD0">
        <w:rPr>
          <w:rFonts w:cs="Times New Roman" w:hint="eastAsia"/>
        </w:rPr>
        <w:t>3</w:t>
      </w:r>
      <w:r>
        <w:rPr>
          <w:rFonts w:cs="Times New Roman" w:hint="eastAsia"/>
        </w:rPr>
        <w:t>所示）</w:t>
      </w:r>
      <w:r>
        <w:rPr>
          <w:rFonts w:cs="Times New Roman"/>
        </w:rPr>
        <w:t>。</w:t>
      </w:r>
    </w:p>
    <w:p w:rsidR="00BF6A1B" w:rsidRDefault="00BF6A1B" w:rsidP="000256A0">
      <w:pPr>
        <w:pStyle w:val="3"/>
        <w:spacing w:line="480" w:lineRule="auto"/>
        <w:ind w:firstLine="560"/>
        <w:rPr>
          <w:rFonts w:cs="Times New Roman"/>
        </w:rPr>
      </w:pPr>
      <w:bookmarkStart w:id="14" w:name="_Toc454809989"/>
      <w:r>
        <w:rPr>
          <w:rFonts w:cs="Times New Roman"/>
        </w:rPr>
        <w:lastRenderedPageBreak/>
        <w:t>（二）扩大公交服务广度和深度</w:t>
      </w:r>
      <w:bookmarkEnd w:id="14"/>
    </w:p>
    <w:p w:rsidR="00BF6A1B" w:rsidRDefault="00BF6A1B" w:rsidP="00BF6A1B">
      <w:pPr>
        <w:spacing w:line="480" w:lineRule="auto"/>
        <w:ind w:firstLineChars="200" w:firstLine="480"/>
        <w:rPr>
          <w:rFonts w:cs="Times New Roman"/>
        </w:rPr>
      </w:pPr>
      <w:r>
        <w:rPr>
          <w:rFonts w:cs="Times New Roman"/>
        </w:rPr>
        <w:t>科学规划、调整兵团公交线网，加强兵团轨道交通、公共汽电车等多种方式网络的融合衔接，扩大线网覆盖范围；在提高兵团公交站点覆盖率的基础上，提升公共交通网络通达深度，并合理提高发车频率，适当延长城市公交运营时间。逐步将兵团公交线路向城市郊区或全域延伸，提升城乡客运基本公共服务均等化水平。</w:t>
      </w:r>
    </w:p>
    <w:tbl>
      <w:tblPr>
        <w:tblStyle w:val="a9"/>
        <w:tblW w:w="8522" w:type="dxa"/>
        <w:tblLayout w:type="fixed"/>
        <w:tblLook w:val="04A0"/>
      </w:tblPr>
      <w:tblGrid>
        <w:gridCol w:w="8522"/>
      </w:tblGrid>
      <w:tr w:rsidR="00BF6A1B" w:rsidTr="009604D2">
        <w:tc>
          <w:tcPr>
            <w:tcW w:w="8522" w:type="dxa"/>
          </w:tcPr>
          <w:p w:rsidR="00BF6A1B" w:rsidRDefault="00BF6A1B" w:rsidP="009604D2">
            <w:pPr>
              <w:spacing w:line="480" w:lineRule="auto"/>
              <w:rPr>
                <w:rFonts w:eastAsia="黑体" w:cs="Times New Roman"/>
                <w:b/>
                <w:sz w:val="21"/>
                <w:szCs w:val="21"/>
              </w:rPr>
            </w:pPr>
            <w:r>
              <w:rPr>
                <w:rFonts w:eastAsia="黑体" w:cs="Times New Roman"/>
                <w:b/>
                <w:sz w:val="21"/>
                <w:szCs w:val="21"/>
              </w:rPr>
              <w:t>案例</w:t>
            </w:r>
            <w:r w:rsidR="00BF5651">
              <w:rPr>
                <w:rFonts w:eastAsia="黑体" w:cs="Times New Roman" w:hint="eastAsia"/>
                <w:b/>
                <w:sz w:val="21"/>
                <w:szCs w:val="21"/>
              </w:rPr>
              <w:t>1</w:t>
            </w:r>
            <w:r>
              <w:rPr>
                <w:rFonts w:eastAsia="黑体" w:cs="Times New Roman"/>
                <w:b/>
                <w:sz w:val="21"/>
                <w:szCs w:val="21"/>
              </w:rPr>
              <w:t>：兵团城乡客运一体化发展</w:t>
            </w:r>
          </w:p>
          <w:p w:rsidR="00BF6A1B" w:rsidRDefault="00BF6A1B" w:rsidP="000256A0">
            <w:pPr>
              <w:spacing w:line="480" w:lineRule="auto"/>
              <w:ind w:firstLineChars="200" w:firstLine="420"/>
              <w:rPr>
                <w:rFonts w:cs="Times New Roman"/>
              </w:rPr>
            </w:pPr>
            <w:r>
              <w:rPr>
                <w:rFonts w:eastAsia="仿宋" w:cs="Times New Roman"/>
                <w:b/>
                <w:sz w:val="21"/>
                <w:szCs w:val="21"/>
              </w:rPr>
              <w:t>2016</w:t>
            </w:r>
            <w:r>
              <w:rPr>
                <w:rFonts w:eastAsia="仿宋" w:cs="Times New Roman"/>
                <w:b/>
                <w:sz w:val="21"/>
                <w:szCs w:val="21"/>
              </w:rPr>
              <w:t>年</w:t>
            </w:r>
            <w:r>
              <w:rPr>
                <w:rFonts w:eastAsia="仿宋" w:cs="Times New Roman"/>
                <w:b/>
                <w:sz w:val="21"/>
                <w:szCs w:val="21"/>
              </w:rPr>
              <w:t>4</w:t>
            </w:r>
            <w:r>
              <w:rPr>
                <w:rFonts w:eastAsia="仿宋" w:cs="Times New Roman"/>
                <w:b/>
                <w:sz w:val="21"/>
                <w:szCs w:val="21"/>
              </w:rPr>
              <w:t>月</w:t>
            </w:r>
            <w:r>
              <w:rPr>
                <w:rFonts w:eastAsia="仿宋" w:cs="Times New Roman"/>
                <w:b/>
                <w:sz w:val="21"/>
                <w:szCs w:val="21"/>
              </w:rPr>
              <w:t>1</w:t>
            </w:r>
            <w:r>
              <w:rPr>
                <w:rFonts w:eastAsia="仿宋" w:cs="Times New Roman"/>
                <w:b/>
                <w:sz w:val="21"/>
                <w:szCs w:val="21"/>
              </w:rPr>
              <w:t>日，十三师红星客运服务有限公司成立，标志十三师公共交通服务体系建设工作启动，该公司逐步整合师域客运资源，进一步提升客运服务的水平和服务质量，十三师交通局按照师常委、兵团交通局部署，先后成立了管理机构，协调开通第一条贯穿师团的公交线路</w:t>
            </w:r>
            <w:r>
              <w:rPr>
                <w:rFonts w:eastAsia="仿宋" w:cs="Times New Roman"/>
                <w:b/>
                <w:sz w:val="21"/>
                <w:szCs w:val="21"/>
              </w:rPr>
              <w:t>-18</w:t>
            </w:r>
            <w:r>
              <w:rPr>
                <w:rFonts w:eastAsia="仿宋" w:cs="Times New Roman"/>
                <w:b/>
                <w:sz w:val="21"/>
                <w:szCs w:val="21"/>
              </w:rPr>
              <w:t>路（师部途径火箭农场至红星二场场部），减少了职工群众的出行成本，更彻底改变了团场职工群众的出行方式。公司投资</w:t>
            </w:r>
            <w:r>
              <w:rPr>
                <w:rFonts w:eastAsia="仿宋" w:cs="Times New Roman"/>
                <w:b/>
                <w:sz w:val="21"/>
                <w:szCs w:val="21"/>
              </w:rPr>
              <w:t>3000</w:t>
            </w:r>
            <w:r>
              <w:rPr>
                <w:rFonts w:eastAsia="仿宋" w:cs="Times New Roman"/>
                <w:b/>
                <w:sz w:val="21"/>
                <w:szCs w:val="21"/>
              </w:rPr>
              <w:t>余万元，建成师部和红星二场</w:t>
            </w:r>
            <w:r>
              <w:rPr>
                <w:rFonts w:eastAsia="仿宋" w:cs="Times New Roman"/>
                <w:b/>
                <w:sz w:val="21"/>
                <w:szCs w:val="21"/>
              </w:rPr>
              <w:t>2</w:t>
            </w:r>
            <w:r>
              <w:rPr>
                <w:rFonts w:eastAsia="仿宋" w:cs="Times New Roman"/>
                <w:b/>
                <w:sz w:val="21"/>
                <w:szCs w:val="21"/>
              </w:rPr>
              <w:t>个客运站，</w:t>
            </w:r>
            <w:r>
              <w:rPr>
                <w:rFonts w:eastAsia="仿宋" w:cs="Times New Roman"/>
                <w:b/>
                <w:sz w:val="21"/>
                <w:szCs w:val="21"/>
              </w:rPr>
              <w:t>10</w:t>
            </w:r>
            <w:r>
              <w:rPr>
                <w:rFonts w:eastAsia="仿宋" w:cs="Times New Roman"/>
                <w:b/>
                <w:sz w:val="21"/>
                <w:szCs w:val="21"/>
              </w:rPr>
              <w:t>对公交停靠站并计划配备公交智能提示系统，进一步方便职工群众候车。</w:t>
            </w:r>
            <w:r>
              <w:rPr>
                <w:rFonts w:eastAsia="仿宋" w:cs="Times New Roman"/>
                <w:b/>
                <w:sz w:val="21"/>
                <w:szCs w:val="21"/>
              </w:rPr>
              <w:t>“</w:t>
            </w:r>
            <w:r>
              <w:rPr>
                <w:rFonts w:eastAsia="仿宋" w:cs="Times New Roman"/>
                <w:b/>
                <w:sz w:val="21"/>
                <w:szCs w:val="21"/>
              </w:rPr>
              <w:t>十三五</w:t>
            </w:r>
            <w:r>
              <w:rPr>
                <w:rFonts w:eastAsia="仿宋" w:cs="Times New Roman"/>
                <w:b/>
                <w:sz w:val="21"/>
                <w:szCs w:val="21"/>
              </w:rPr>
              <w:t>”</w:t>
            </w:r>
            <w:r>
              <w:rPr>
                <w:rFonts w:eastAsia="仿宋" w:cs="Times New Roman"/>
                <w:b/>
                <w:sz w:val="21"/>
                <w:szCs w:val="21"/>
              </w:rPr>
              <w:t>期间，红星客运服务有限公司将依托兵地融合大道高等级公路（外环公路）的建设，与哈密市公共交通总公司共同促进哈密地区城乡客运一体化发展，共建绿色、快速公交系统，为</w:t>
            </w:r>
            <w:r>
              <w:rPr>
                <w:rFonts w:eastAsia="仿宋" w:cs="Times New Roman" w:hint="eastAsia"/>
                <w:b/>
                <w:sz w:val="21"/>
                <w:szCs w:val="21"/>
              </w:rPr>
              <w:t>哈密市</w:t>
            </w:r>
            <w:r>
              <w:rPr>
                <w:rFonts w:eastAsia="仿宋" w:cs="Times New Roman"/>
                <w:b/>
                <w:sz w:val="21"/>
                <w:szCs w:val="21"/>
              </w:rPr>
              <w:t>及十三师职工群众提供</w:t>
            </w:r>
            <w:r>
              <w:rPr>
                <w:rFonts w:eastAsia="仿宋" w:cs="Times New Roman"/>
                <w:b/>
                <w:sz w:val="21"/>
                <w:szCs w:val="21"/>
              </w:rPr>
              <w:t>“</w:t>
            </w:r>
            <w:r>
              <w:rPr>
                <w:rFonts w:eastAsia="仿宋" w:cs="Times New Roman"/>
                <w:b/>
                <w:sz w:val="21"/>
                <w:szCs w:val="21"/>
              </w:rPr>
              <w:t>安全、便捷、经济</w:t>
            </w:r>
            <w:r>
              <w:rPr>
                <w:rFonts w:eastAsia="仿宋" w:cs="Times New Roman"/>
                <w:b/>
                <w:sz w:val="21"/>
                <w:szCs w:val="21"/>
              </w:rPr>
              <w:t>”</w:t>
            </w:r>
            <w:r>
              <w:rPr>
                <w:rFonts w:eastAsia="仿宋" w:cs="Times New Roman"/>
                <w:b/>
                <w:sz w:val="21"/>
                <w:szCs w:val="21"/>
              </w:rPr>
              <w:t>的出行服务。</w:t>
            </w:r>
          </w:p>
        </w:tc>
      </w:tr>
    </w:tbl>
    <w:p w:rsidR="00BF6A1B" w:rsidRDefault="00BF6A1B" w:rsidP="000256A0">
      <w:pPr>
        <w:pStyle w:val="3"/>
        <w:spacing w:line="480" w:lineRule="auto"/>
        <w:ind w:firstLine="560"/>
        <w:rPr>
          <w:rFonts w:cs="Times New Roman"/>
        </w:rPr>
      </w:pPr>
      <w:bookmarkStart w:id="15" w:name="_Toc454809990"/>
      <w:r>
        <w:rPr>
          <w:rFonts w:cs="Times New Roman"/>
        </w:rPr>
        <w:t>（三）完善多元化公交服务网络</w:t>
      </w:r>
      <w:bookmarkEnd w:id="15"/>
    </w:p>
    <w:p w:rsidR="00BF6A1B" w:rsidRDefault="00BF6A1B" w:rsidP="00BF6A1B">
      <w:pPr>
        <w:spacing w:line="480" w:lineRule="auto"/>
        <w:ind w:firstLineChars="200" w:firstLine="480"/>
        <w:rPr>
          <w:rFonts w:cs="Times New Roman"/>
        </w:rPr>
      </w:pPr>
      <w:r>
        <w:rPr>
          <w:rFonts w:cs="Times New Roman"/>
        </w:rPr>
        <w:t>不断推进兵团公共交通供给侧改革，丰富兵团公交服务形式，鼓励多种运营组织形式，更好满足上班、上学、就医、旅游、购物等多样化出行需求，完善兵团慢行交通出行环境，引导群众选择自行车和步行等绿色交通方式出行。</w:t>
      </w:r>
    </w:p>
    <w:tbl>
      <w:tblPr>
        <w:tblStyle w:val="a9"/>
        <w:tblW w:w="8522" w:type="dxa"/>
        <w:tblLayout w:type="fixed"/>
        <w:tblLook w:val="04A0"/>
      </w:tblPr>
      <w:tblGrid>
        <w:gridCol w:w="8522"/>
      </w:tblGrid>
      <w:tr w:rsidR="00BF6A1B" w:rsidTr="009604D2">
        <w:tc>
          <w:tcPr>
            <w:tcW w:w="8522" w:type="dxa"/>
          </w:tcPr>
          <w:p w:rsidR="00BF6A1B" w:rsidRDefault="00BF6A1B" w:rsidP="009604D2">
            <w:pPr>
              <w:spacing w:line="480" w:lineRule="auto"/>
              <w:rPr>
                <w:rFonts w:eastAsia="黑体" w:cs="Times New Roman"/>
                <w:b/>
                <w:sz w:val="21"/>
                <w:szCs w:val="21"/>
              </w:rPr>
            </w:pPr>
            <w:r>
              <w:rPr>
                <w:rFonts w:eastAsia="黑体" w:cs="Times New Roman"/>
                <w:b/>
                <w:sz w:val="21"/>
                <w:szCs w:val="21"/>
              </w:rPr>
              <w:lastRenderedPageBreak/>
              <w:t>案例</w:t>
            </w:r>
            <w:r w:rsidR="00BF5651">
              <w:rPr>
                <w:rFonts w:eastAsia="黑体" w:cs="Times New Roman" w:hint="eastAsia"/>
                <w:b/>
                <w:sz w:val="21"/>
                <w:szCs w:val="21"/>
              </w:rPr>
              <w:t>2</w:t>
            </w:r>
            <w:r>
              <w:rPr>
                <w:rFonts w:eastAsia="黑体" w:cs="Times New Roman"/>
                <w:b/>
                <w:sz w:val="21"/>
                <w:szCs w:val="21"/>
              </w:rPr>
              <w:t>：定制公交服务快速发展</w:t>
            </w:r>
          </w:p>
          <w:p w:rsidR="00BF6A1B" w:rsidRDefault="00BF6A1B" w:rsidP="000256A0">
            <w:pPr>
              <w:spacing w:line="480" w:lineRule="auto"/>
              <w:ind w:firstLineChars="196" w:firstLine="412"/>
              <w:rPr>
                <w:rFonts w:eastAsia="仿宋" w:cs="Times New Roman"/>
                <w:b/>
                <w:sz w:val="21"/>
                <w:szCs w:val="21"/>
                <w:highlight w:val="green"/>
              </w:rPr>
            </w:pPr>
            <w:r>
              <w:rPr>
                <w:rFonts w:eastAsia="仿宋" w:cs="Times New Roman"/>
                <w:b/>
                <w:sz w:val="21"/>
                <w:szCs w:val="21"/>
              </w:rPr>
              <w:t>定制公交是根据乘客特殊需求设定的线路，采用</w:t>
            </w:r>
            <w:r>
              <w:rPr>
                <w:rFonts w:eastAsia="仿宋" w:cs="Times New Roman" w:hint="eastAsia"/>
                <w:b/>
                <w:sz w:val="21"/>
                <w:szCs w:val="21"/>
              </w:rPr>
              <w:t>“</w:t>
            </w:r>
            <w:r>
              <w:rPr>
                <w:rFonts w:eastAsia="仿宋" w:cs="Times New Roman"/>
                <w:b/>
                <w:sz w:val="21"/>
                <w:szCs w:val="21"/>
              </w:rPr>
              <w:t>一人一座、一站直达</w:t>
            </w:r>
            <w:r>
              <w:rPr>
                <w:rFonts w:eastAsia="仿宋" w:cs="Times New Roman" w:hint="eastAsia"/>
                <w:b/>
                <w:sz w:val="21"/>
                <w:szCs w:val="21"/>
              </w:rPr>
              <w:t>”</w:t>
            </w:r>
            <w:r>
              <w:rPr>
                <w:rFonts w:eastAsia="仿宋" w:cs="Times New Roman"/>
                <w:b/>
                <w:sz w:val="21"/>
                <w:szCs w:val="21"/>
              </w:rPr>
              <w:t>的公共交通服务模式，以多人共同乘用交通工具的形式，为相对处于相同区域、具有相同出行时间和相同出行需求的人群量身定做的公共交通服务。目前，北京、天津、哈尔滨、济南、青岛、西安、成都、深圳、大连、厦门、福州和泉州等城市相继开通了定制公交线路，开创了城市公交差异化服务的新局面。</w:t>
            </w:r>
          </w:p>
        </w:tc>
      </w:tr>
    </w:tbl>
    <w:p w:rsidR="00BF6A1B" w:rsidRDefault="00BF6A1B" w:rsidP="000256A0">
      <w:pPr>
        <w:pStyle w:val="3"/>
        <w:spacing w:line="480" w:lineRule="auto"/>
        <w:ind w:firstLine="560"/>
        <w:rPr>
          <w:rFonts w:cs="Times New Roman"/>
        </w:rPr>
      </w:pPr>
      <w:bookmarkStart w:id="16" w:name="_Toc454809991"/>
      <w:r>
        <w:rPr>
          <w:rFonts w:cs="Times New Roman"/>
        </w:rPr>
        <w:t>（四）提升公交出行便利性</w:t>
      </w:r>
      <w:bookmarkEnd w:id="16"/>
    </w:p>
    <w:p w:rsidR="00BF6A1B" w:rsidRDefault="00BF6A1B" w:rsidP="00BF6A1B">
      <w:pPr>
        <w:adjustRightInd w:val="0"/>
        <w:snapToGrid w:val="0"/>
        <w:spacing w:line="480" w:lineRule="auto"/>
        <w:ind w:firstLineChars="200" w:firstLine="480"/>
        <w:rPr>
          <w:rFonts w:cs="Times New Roman"/>
        </w:rPr>
      </w:pPr>
      <w:r>
        <w:rPr>
          <w:rFonts w:cs="Times New Roman"/>
        </w:rPr>
        <w:t>加强兵团公交与兵团对外运输方式在基础设施、运营管理和信息服务等方面的衔接，优化乘客换乘条件，提升兵团公交</w:t>
      </w:r>
      <w:r>
        <w:rPr>
          <w:rFonts w:cs="Times New Roman" w:hint="eastAsia"/>
        </w:rPr>
        <w:t>集疏运效能</w:t>
      </w:r>
      <w:r>
        <w:rPr>
          <w:rFonts w:cs="Times New Roman"/>
        </w:rPr>
        <w:t>和换乘便利性。兵团目前已有七座城市，在不久的将来将达到</w:t>
      </w:r>
      <w:r>
        <w:rPr>
          <w:rFonts w:cs="Times New Roman" w:hint="eastAsia"/>
        </w:rPr>
        <w:t>“</w:t>
      </w:r>
      <w:r>
        <w:rPr>
          <w:rFonts w:cs="Times New Roman"/>
        </w:rPr>
        <w:t>一师一市</w:t>
      </w:r>
      <w:r>
        <w:rPr>
          <w:rFonts w:cs="Times New Roman" w:hint="eastAsia"/>
        </w:rPr>
        <w:t>”</w:t>
      </w:r>
      <w:r>
        <w:rPr>
          <w:rFonts w:cs="Times New Roman"/>
        </w:rPr>
        <w:t>的目标，方便完善公共交通线网，提高兵团生活水平条件。兵团共有</w:t>
      </w:r>
      <w:r>
        <w:rPr>
          <w:rFonts w:cs="Times New Roman"/>
        </w:rPr>
        <w:t>14</w:t>
      </w:r>
      <w:r>
        <w:rPr>
          <w:rFonts w:cs="Times New Roman"/>
        </w:rPr>
        <w:t>个师，以师部所在城市为中心枢纽，向各团场辐射的团场班线，达到兵团公共交通城乡一体化，建立团场班线与城市公交的无缝衔接，形成方便又快捷的团场公共交通，提升团场居民的生活质量，并科学规划建设充换电站、加气站等配套设施。</w:t>
      </w:r>
    </w:p>
    <w:tbl>
      <w:tblPr>
        <w:tblStyle w:val="a9"/>
        <w:tblW w:w="8522" w:type="dxa"/>
        <w:tblLayout w:type="fixed"/>
        <w:tblLook w:val="04A0"/>
      </w:tblPr>
      <w:tblGrid>
        <w:gridCol w:w="8522"/>
      </w:tblGrid>
      <w:tr w:rsidR="00BF6A1B" w:rsidTr="009604D2">
        <w:tc>
          <w:tcPr>
            <w:tcW w:w="8522" w:type="dxa"/>
          </w:tcPr>
          <w:p w:rsidR="00BF6A1B" w:rsidRDefault="00BF6A1B" w:rsidP="009604D2">
            <w:pPr>
              <w:adjustRightInd w:val="0"/>
              <w:snapToGrid w:val="0"/>
              <w:spacing w:line="480" w:lineRule="auto"/>
              <w:rPr>
                <w:rFonts w:cs="Times New Roman"/>
                <w:b/>
              </w:rPr>
            </w:pPr>
            <w:r>
              <w:rPr>
                <w:rFonts w:eastAsia="黑体" w:cs="Times New Roman" w:hint="eastAsia"/>
                <w:b/>
                <w:sz w:val="21"/>
                <w:szCs w:val="21"/>
              </w:rPr>
              <w:t>案例</w:t>
            </w:r>
            <w:r w:rsidR="00BF5651">
              <w:rPr>
                <w:rFonts w:eastAsia="黑体" w:cs="Times New Roman" w:hint="eastAsia"/>
                <w:b/>
                <w:sz w:val="21"/>
                <w:szCs w:val="21"/>
              </w:rPr>
              <w:t>3</w:t>
            </w:r>
            <w:r>
              <w:rPr>
                <w:rFonts w:eastAsia="黑体" w:cs="Times New Roman" w:hint="eastAsia"/>
                <w:b/>
                <w:sz w:val="21"/>
                <w:szCs w:val="21"/>
              </w:rPr>
              <w:t>:</w:t>
            </w:r>
            <w:r>
              <w:rPr>
                <w:rFonts w:eastAsia="黑体" w:cs="Times New Roman" w:hint="eastAsia"/>
                <w:b/>
                <w:sz w:val="21"/>
                <w:szCs w:val="21"/>
              </w:rPr>
              <w:t>城市公交基础设施建设模式不断创新</w:t>
            </w:r>
          </w:p>
          <w:p w:rsidR="00BF6A1B" w:rsidRDefault="00BF6A1B" w:rsidP="009604D2">
            <w:pPr>
              <w:adjustRightInd w:val="0"/>
              <w:snapToGrid w:val="0"/>
              <w:spacing w:line="480" w:lineRule="auto"/>
              <w:rPr>
                <w:rFonts w:cs="Times New Roman"/>
                <w:b/>
              </w:rPr>
            </w:pPr>
            <w:r>
              <w:rPr>
                <w:rFonts w:eastAsia="仿宋" w:cs="Times New Roman" w:hint="eastAsia"/>
                <w:b/>
                <w:sz w:val="21"/>
                <w:szCs w:val="21"/>
              </w:rPr>
              <w:t xml:space="preserve">    </w:t>
            </w:r>
            <w:r>
              <w:rPr>
                <w:rFonts w:eastAsia="仿宋" w:cs="Times New Roman" w:hint="eastAsia"/>
                <w:b/>
                <w:sz w:val="21"/>
                <w:szCs w:val="21"/>
              </w:rPr>
              <w:t>哈尔滨市颁布了《城市公交基础设施规划建设使用管理办法》</w:t>
            </w:r>
            <w:r>
              <w:rPr>
                <w:rFonts w:eastAsia="仿宋" w:cs="Times New Roman" w:hint="eastAsia"/>
                <w:b/>
                <w:sz w:val="21"/>
                <w:szCs w:val="21"/>
              </w:rPr>
              <w:t>(</w:t>
            </w:r>
            <w:r>
              <w:rPr>
                <w:rFonts w:eastAsia="仿宋" w:cs="Times New Roman" w:hint="eastAsia"/>
                <w:b/>
                <w:sz w:val="21"/>
                <w:szCs w:val="21"/>
              </w:rPr>
              <w:t>市政府</w:t>
            </w:r>
            <w:r>
              <w:rPr>
                <w:rFonts w:eastAsia="仿宋" w:cs="Times New Roman" w:hint="eastAsia"/>
                <w:b/>
                <w:sz w:val="21"/>
                <w:szCs w:val="21"/>
              </w:rPr>
              <w:t>4</w:t>
            </w:r>
            <w:r>
              <w:rPr>
                <w:rFonts w:eastAsia="仿宋" w:cs="Times New Roman" w:hint="eastAsia"/>
                <w:b/>
                <w:sz w:val="21"/>
                <w:szCs w:val="21"/>
              </w:rPr>
              <w:t>号令</w:t>
            </w:r>
            <w:r>
              <w:rPr>
                <w:rFonts w:eastAsia="仿宋" w:cs="Times New Roman" w:hint="eastAsia"/>
                <w:b/>
                <w:sz w:val="21"/>
                <w:szCs w:val="21"/>
              </w:rPr>
              <w:t>)</w:t>
            </w:r>
            <w:r>
              <w:rPr>
                <w:rFonts w:eastAsia="仿宋" w:cs="Times New Roman" w:hint="eastAsia"/>
                <w:b/>
                <w:sz w:val="21"/>
                <w:szCs w:val="21"/>
              </w:rPr>
              <w:t>和《城市公交基础设施规划建设管理规定》，通过市场化运作机制，将公交首末站用地和投资统一纳入新建小区建设规划，同步设计、同步实施。合肥市采用“建设—运营分离”模式，政府负责公交场站投资及建设，并移交城市公交企业使用。</w:t>
            </w:r>
          </w:p>
        </w:tc>
      </w:tr>
    </w:tbl>
    <w:p w:rsidR="00BF6A1B" w:rsidRDefault="00BF6A1B" w:rsidP="00BF6A1B">
      <w:pPr>
        <w:adjustRightInd w:val="0"/>
        <w:snapToGrid w:val="0"/>
        <w:spacing w:line="480" w:lineRule="auto"/>
        <w:rPr>
          <w:rFonts w:cs="Times New Roman"/>
        </w:rPr>
      </w:pPr>
    </w:p>
    <w:tbl>
      <w:tblPr>
        <w:tblStyle w:val="a9"/>
        <w:tblW w:w="8522" w:type="dxa"/>
        <w:tblLayout w:type="fixed"/>
        <w:tblLook w:val="04A0"/>
      </w:tblPr>
      <w:tblGrid>
        <w:gridCol w:w="8522"/>
      </w:tblGrid>
      <w:tr w:rsidR="00BF6A1B" w:rsidTr="009604D2">
        <w:tc>
          <w:tcPr>
            <w:tcW w:w="8522" w:type="dxa"/>
          </w:tcPr>
          <w:p w:rsidR="00BF6A1B" w:rsidRDefault="00BF6A1B" w:rsidP="009604D2">
            <w:pPr>
              <w:spacing w:line="480" w:lineRule="auto"/>
              <w:rPr>
                <w:rFonts w:eastAsia="黑体" w:cs="Times New Roman"/>
                <w:b/>
                <w:sz w:val="21"/>
                <w:szCs w:val="21"/>
              </w:rPr>
            </w:pPr>
            <w:r>
              <w:rPr>
                <w:rFonts w:eastAsia="黑体" w:cs="Times New Roman"/>
                <w:b/>
                <w:sz w:val="21"/>
                <w:szCs w:val="21"/>
              </w:rPr>
              <w:lastRenderedPageBreak/>
              <w:t>案例</w:t>
            </w:r>
            <w:r w:rsidR="00BF5651">
              <w:rPr>
                <w:rFonts w:eastAsia="黑体" w:cs="Times New Roman" w:hint="eastAsia"/>
                <w:b/>
                <w:sz w:val="21"/>
                <w:szCs w:val="21"/>
              </w:rPr>
              <w:t>4</w:t>
            </w:r>
            <w:r>
              <w:rPr>
                <w:rFonts w:eastAsia="黑体" w:cs="Times New Roman"/>
                <w:b/>
                <w:sz w:val="21"/>
                <w:szCs w:val="21"/>
              </w:rPr>
              <w:t>：新疆建设兵团出台电动车充电基础设施建设实施意见</w:t>
            </w:r>
          </w:p>
          <w:p w:rsidR="00BF6A1B" w:rsidRDefault="00BF6A1B" w:rsidP="000256A0">
            <w:pPr>
              <w:spacing w:line="480" w:lineRule="auto"/>
              <w:ind w:firstLineChars="200" w:firstLine="420"/>
              <w:rPr>
                <w:rFonts w:eastAsia="仿宋" w:cs="Times New Roman"/>
                <w:b/>
                <w:sz w:val="21"/>
                <w:szCs w:val="21"/>
              </w:rPr>
            </w:pPr>
            <w:r>
              <w:rPr>
                <w:rFonts w:eastAsia="仿宋" w:cs="Times New Roman"/>
                <w:b/>
                <w:sz w:val="21"/>
                <w:szCs w:val="21"/>
              </w:rPr>
              <w:t>2016</w:t>
            </w:r>
            <w:r>
              <w:rPr>
                <w:rFonts w:eastAsia="仿宋" w:cs="Times New Roman"/>
                <w:b/>
                <w:sz w:val="21"/>
                <w:szCs w:val="21"/>
              </w:rPr>
              <w:t>年</w:t>
            </w:r>
            <w:r>
              <w:rPr>
                <w:rFonts w:eastAsia="仿宋" w:cs="Times New Roman"/>
                <w:b/>
                <w:sz w:val="21"/>
                <w:szCs w:val="21"/>
              </w:rPr>
              <w:t>5</w:t>
            </w:r>
            <w:r>
              <w:rPr>
                <w:rFonts w:eastAsia="仿宋" w:cs="Times New Roman"/>
                <w:b/>
                <w:sz w:val="21"/>
                <w:szCs w:val="21"/>
              </w:rPr>
              <w:t>月</w:t>
            </w:r>
            <w:r>
              <w:rPr>
                <w:rFonts w:eastAsia="仿宋" w:cs="Times New Roman"/>
                <w:b/>
                <w:sz w:val="21"/>
                <w:szCs w:val="21"/>
              </w:rPr>
              <w:t>10</w:t>
            </w:r>
            <w:r>
              <w:rPr>
                <w:rFonts w:eastAsia="仿宋" w:cs="Times New Roman"/>
                <w:b/>
                <w:sz w:val="21"/>
                <w:szCs w:val="21"/>
              </w:rPr>
              <w:t>日，新疆生产建设兵团发改委能源处为贯彻落实《国务院办公厅关于加快电动汽车充电基础设施建设的指导意见》，推动兵团电动汽车充电基础设施建设快速健康发展，兵团近日印发了《关于加快兵团电动汽车充电基础设施建设的实施意见》。《意见》明确提出，优先推进公共服务领域充电基础设施建设，重点在兵团各城市、中心团场公交、</w:t>
            </w:r>
            <w:r>
              <w:rPr>
                <w:rFonts w:eastAsia="仿宋" w:cs="Times New Roman"/>
                <w:b/>
                <w:color w:val="444444"/>
                <w:sz w:val="21"/>
                <w:szCs w:val="21"/>
              </w:rPr>
              <w:t>环</w:t>
            </w:r>
            <w:r>
              <w:rPr>
                <w:rFonts w:eastAsia="仿宋" w:cs="Times New Roman"/>
                <w:b/>
                <w:sz w:val="21"/>
                <w:szCs w:val="21"/>
              </w:rPr>
              <w:t>卫等公共服务领域停车场站加快建设充电基础设施。</w:t>
            </w:r>
          </w:p>
        </w:tc>
      </w:tr>
    </w:tbl>
    <w:p w:rsidR="00BF6A1B" w:rsidRDefault="00BF6A1B" w:rsidP="000256A0">
      <w:pPr>
        <w:pStyle w:val="3"/>
        <w:spacing w:line="480" w:lineRule="auto"/>
        <w:ind w:firstLine="560"/>
        <w:rPr>
          <w:rFonts w:cs="Times New Roman"/>
        </w:rPr>
      </w:pPr>
      <w:bookmarkStart w:id="17" w:name="_Toc454809992"/>
      <w:r>
        <w:rPr>
          <w:rFonts w:cs="Times New Roman"/>
        </w:rPr>
        <w:t>（五）提升公交出行舒适性</w:t>
      </w:r>
      <w:bookmarkEnd w:id="17"/>
    </w:p>
    <w:p w:rsidR="00BF6A1B" w:rsidRDefault="00BF6A1B" w:rsidP="00BF6A1B">
      <w:pPr>
        <w:adjustRightInd w:val="0"/>
        <w:snapToGrid w:val="0"/>
        <w:spacing w:line="480" w:lineRule="auto"/>
        <w:ind w:firstLineChars="176" w:firstLine="422"/>
        <w:rPr>
          <w:rFonts w:cs="Times New Roman"/>
        </w:rPr>
      </w:pPr>
      <w:r>
        <w:rPr>
          <w:rFonts w:cs="Times New Roman"/>
        </w:rPr>
        <w:t>城市公交行程短，乘客乘车时间短，上下客频繁，而团场班线行驶距离长，车程多在</w:t>
      </w:r>
      <w:r>
        <w:rPr>
          <w:rFonts w:cs="Times New Roman"/>
        </w:rPr>
        <w:t>10km</w:t>
      </w:r>
      <w:r>
        <w:rPr>
          <w:rFonts w:cs="Times New Roman"/>
        </w:rPr>
        <w:t>以上，途中很少停车上下乘客，因此对两种车辆的选择标准是不同的。加大城市公交运力投放，科学配置运力，科学提升公交发车频率。合理控制高峰时段车辆满载率，团场班线车辆应注重座位的舒适性，按照长途客车的标准进行选择，选择长车身，行驶平稳性好的豪华大客，车内要求配置冷暖开空调及</w:t>
      </w:r>
      <w:r>
        <w:rPr>
          <w:rFonts w:cs="Times New Roman"/>
        </w:rPr>
        <w:t>DVD</w:t>
      </w:r>
      <w:r>
        <w:rPr>
          <w:rFonts w:cs="Times New Roman"/>
        </w:rPr>
        <w:t>电视屏。保持车辆内外的整洁，为乘客营造舒适的乘车环境。积极推广应用无障碍化城市公交车辆，完善无障碍设施，方便残疾人乘用。落实扶持政策，加快推进新能源和清洁能源车辆推广应用，落实对新能源公交车运营补贴政策。</w:t>
      </w:r>
    </w:p>
    <w:tbl>
      <w:tblPr>
        <w:tblStyle w:val="a9"/>
        <w:tblW w:w="8522" w:type="dxa"/>
        <w:tblLayout w:type="fixed"/>
        <w:tblLook w:val="04A0"/>
      </w:tblPr>
      <w:tblGrid>
        <w:gridCol w:w="8522"/>
      </w:tblGrid>
      <w:tr w:rsidR="00BF6A1B" w:rsidTr="009604D2">
        <w:tc>
          <w:tcPr>
            <w:tcW w:w="8522" w:type="dxa"/>
          </w:tcPr>
          <w:p w:rsidR="00BF6A1B" w:rsidRDefault="00BF6A1B" w:rsidP="009604D2">
            <w:pPr>
              <w:adjustRightInd w:val="0"/>
              <w:snapToGrid w:val="0"/>
              <w:spacing w:line="480" w:lineRule="auto"/>
              <w:rPr>
                <w:rFonts w:eastAsia="黑体" w:cs="Times New Roman"/>
                <w:b/>
                <w:sz w:val="21"/>
                <w:szCs w:val="21"/>
              </w:rPr>
            </w:pPr>
            <w:r>
              <w:rPr>
                <w:rFonts w:eastAsia="黑体" w:cs="Times New Roman"/>
                <w:b/>
                <w:sz w:val="21"/>
                <w:szCs w:val="21"/>
              </w:rPr>
              <w:t>案例</w:t>
            </w:r>
            <w:r w:rsidR="00BF5651">
              <w:rPr>
                <w:rFonts w:eastAsia="黑体" w:cs="Times New Roman" w:hint="eastAsia"/>
                <w:b/>
                <w:sz w:val="21"/>
                <w:szCs w:val="21"/>
              </w:rPr>
              <w:t>5</w:t>
            </w:r>
            <w:r>
              <w:rPr>
                <w:rFonts w:eastAsia="黑体" w:cs="Times New Roman"/>
                <w:b/>
                <w:sz w:val="21"/>
                <w:szCs w:val="21"/>
              </w:rPr>
              <w:t>：图木舒克市加大公交运力投放</w:t>
            </w:r>
          </w:p>
          <w:p w:rsidR="00BF6A1B" w:rsidRDefault="00BF6A1B" w:rsidP="000256A0">
            <w:pPr>
              <w:adjustRightInd w:val="0"/>
              <w:snapToGrid w:val="0"/>
              <w:spacing w:line="480" w:lineRule="auto"/>
              <w:ind w:firstLineChars="200" w:firstLine="420"/>
              <w:rPr>
                <w:rFonts w:cs="Times New Roman"/>
                <w:b/>
                <w:sz w:val="21"/>
                <w:szCs w:val="21"/>
              </w:rPr>
            </w:pPr>
            <w:r>
              <w:rPr>
                <w:rFonts w:eastAsia="仿宋" w:cs="Times New Roman"/>
                <w:b/>
                <w:sz w:val="21"/>
                <w:szCs w:val="21"/>
              </w:rPr>
              <w:t>2013</w:t>
            </w:r>
            <w:r>
              <w:rPr>
                <w:rFonts w:eastAsia="仿宋" w:cs="Times New Roman"/>
                <w:b/>
                <w:sz w:val="21"/>
                <w:szCs w:val="21"/>
              </w:rPr>
              <w:t>年</w:t>
            </w:r>
            <w:r>
              <w:rPr>
                <w:rFonts w:eastAsia="仿宋" w:cs="Times New Roman"/>
                <w:b/>
                <w:sz w:val="21"/>
                <w:szCs w:val="21"/>
              </w:rPr>
              <w:t>10</w:t>
            </w:r>
            <w:r>
              <w:rPr>
                <w:rFonts w:eastAsia="仿宋" w:cs="Times New Roman"/>
                <w:b/>
                <w:sz w:val="21"/>
                <w:szCs w:val="21"/>
              </w:rPr>
              <w:t>月</w:t>
            </w:r>
            <w:r>
              <w:rPr>
                <w:rFonts w:eastAsia="仿宋" w:cs="Times New Roman"/>
                <w:b/>
                <w:sz w:val="21"/>
                <w:szCs w:val="21"/>
              </w:rPr>
              <w:t>27</w:t>
            </w:r>
            <w:r>
              <w:rPr>
                <w:rFonts w:eastAsia="仿宋" w:cs="Times New Roman"/>
                <w:b/>
                <w:sz w:val="21"/>
                <w:szCs w:val="21"/>
              </w:rPr>
              <w:t>日，新疆生产建设兵团第三师（图木舒克市）首批投入</w:t>
            </w:r>
            <w:r>
              <w:rPr>
                <w:rFonts w:eastAsia="仿宋" w:cs="Times New Roman"/>
                <w:b/>
                <w:sz w:val="21"/>
                <w:szCs w:val="21"/>
              </w:rPr>
              <w:t>21</w:t>
            </w:r>
            <w:r>
              <w:rPr>
                <w:rFonts w:eastAsia="仿宋" w:cs="Times New Roman"/>
                <w:b/>
                <w:sz w:val="21"/>
                <w:szCs w:val="21"/>
              </w:rPr>
              <w:t>辆一汽佳宝</w:t>
            </w:r>
            <w:r>
              <w:rPr>
                <w:rFonts w:eastAsia="仿宋" w:cs="Times New Roman"/>
                <w:b/>
                <w:sz w:val="21"/>
                <w:szCs w:val="21"/>
              </w:rPr>
              <w:t>V80</w:t>
            </w:r>
            <w:r>
              <w:rPr>
                <w:rFonts w:eastAsia="仿宋" w:cs="Times New Roman"/>
                <w:b/>
                <w:sz w:val="21"/>
                <w:szCs w:val="21"/>
              </w:rPr>
              <w:t>小型团场公交车，在图木舒克市境内的</w:t>
            </w:r>
            <w:r>
              <w:rPr>
                <w:rFonts w:eastAsia="仿宋" w:cs="Times New Roman"/>
                <w:b/>
                <w:sz w:val="21"/>
                <w:szCs w:val="21"/>
              </w:rPr>
              <w:t>5</w:t>
            </w:r>
            <w:r>
              <w:rPr>
                <w:rFonts w:eastAsia="仿宋" w:cs="Times New Roman"/>
                <w:b/>
                <w:sz w:val="21"/>
                <w:szCs w:val="21"/>
              </w:rPr>
              <w:t>个农牧团场和四十八团、小海子水管处、工建集团运营，为团场职工群众创造更加便捷、更加安全、更加优质的出行环境。</w:t>
            </w:r>
          </w:p>
        </w:tc>
      </w:tr>
    </w:tbl>
    <w:p w:rsidR="00BF6A1B" w:rsidRDefault="00BF6A1B" w:rsidP="000256A0">
      <w:pPr>
        <w:pStyle w:val="3"/>
        <w:spacing w:line="480" w:lineRule="auto"/>
        <w:ind w:firstLine="560"/>
        <w:rPr>
          <w:rFonts w:cs="Times New Roman"/>
        </w:rPr>
      </w:pPr>
      <w:bookmarkStart w:id="18" w:name="_Toc454809993"/>
      <w:r>
        <w:rPr>
          <w:rFonts w:cs="Times New Roman"/>
        </w:rPr>
        <w:lastRenderedPageBreak/>
        <w:t>（六）提升公交出行安全性</w:t>
      </w:r>
      <w:bookmarkEnd w:id="18"/>
    </w:p>
    <w:p w:rsidR="00BF6A1B" w:rsidRDefault="00BF6A1B" w:rsidP="00BF6A1B">
      <w:pPr>
        <w:spacing w:line="480" w:lineRule="auto"/>
        <w:ind w:firstLineChars="200" w:firstLine="480"/>
        <w:rPr>
          <w:rFonts w:cs="Times New Roman"/>
        </w:rPr>
      </w:pPr>
      <w:r>
        <w:rPr>
          <w:rFonts w:cs="Times New Roman"/>
        </w:rPr>
        <w:t>一是落实兵团公交企业安全生产主体责任。指导兵团公交企业健全安全生产管理机构，加大安全经费保障，深入推进安全生产标准化建设，加强对所属驾驶员、公交车辆和场站的动态管理，落实企业安全生产主体责任。二是提升兵团公交安全防范和应急处置能力。指导兵团各师建立源头管理动态监控和应急处置相结合的安全防范体系；制定兵团公交应急预案编制规范，指导兵团加快建立统一管理、多网联动、快速响应、处置高效的城市公交应急反应系统。</w:t>
      </w:r>
    </w:p>
    <w:p w:rsidR="00BF6A1B" w:rsidRPr="00BF6A1B" w:rsidRDefault="00BF6A1B" w:rsidP="00BF6A1B"/>
    <w:p w:rsidR="00AA0CEC" w:rsidRDefault="00BF6A1B">
      <w:pPr>
        <w:pStyle w:val="2"/>
        <w:spacing w:line="480" w:lineRule="auto"/>
        <w:ind w:firstLine="602"/>
        <w:rPr>
          <w:rFonts w:ascii="Times New Roman" w:hAnsi="Times New Roman" w:cs="Times New Roman"/>
        </w:rPr>
      </w:pPr>
      <w:bookmarkStart w:id="19" w:name="_Toc454809994"/>
      <w:r>
        <w:rPr>
          <w:rFonts w:ascii="Times New Roman" w:hAnsi="Times New Roman" w:cs="Times New Roman" w:hint="eastAsia"/>
        </w:rPr>
        <w:t>五</w:t>
      </w:r>
      <w:r w:rsidR="00DA349F">
        <w:rPr>
          <w:rFonts w:ascii="Times New Roman" w:hAnsi="Times New Roman" w:cs="Times New Roman"/>
        </w:rPr>
        <w:t>、深化兵团公交行业体制机制改革</w:t>
      </w:r>
      <w:bookmarkEnd w:id="19"/>
    </w:p>
    <w:p w:rsidR="00AA0CEC" w:rsidRDefault="00DA349F" w:rsidP="000256A0">
      <w:pPr>
        <w:pStyle w:val="3"/>
        <w:spacing w:line="480" w:lineRule="auto"/>
        <w:ind w:firstLine="560"/>
        <w:rPr>
          <w:rFonts w:cs="Times New Roman"/>
        </w:rPr>
      </w:pPr>
      <w:bookmarkStart w:id="20" w:name="_Toc454809995"/>
      <w:r>
        <w:rPr>
          <w:rFonts w:cs="Times New Roman"/>
        </w:rPr>
        <w:t>（一）推进兵团公交管理体制改革</w:t>
      </w:r>
      <w:bookmarkEnd w:id="20"/>
    </w:p>
    <w:p w:rsidR="00AA0CEC" w:rsidRDefault="00DA349F">
      <w:pPr>
        <w:spacing w:line="480" w:lineRule="auto"/>
        <w:ind w:firstLineChars="200" w:firstLine="480"/>
        <w:rPr>
          <w:rFonts w:cs="Times New Roman"/>
        </w:rPr>
      </w:pPr>
      <w:r>
        <w:rPr>
          <w:rFonts w:cs="Times New Roman"/>
        </w:rPr>
        <w:t>深化行业管理体制改革，推动建立规划、建设、运营、管理一体化的兵团公交管理体制；完善兵团公交发展跨部门协调机制，形成综合协调、运转高效的工作机制。</w:t>
      </w:r>
    </w:p>
    <w:p w:rsidR="00AA0CEC" w:rsidRDefault="00DA349F" w:rsidP="000256A0">
      <w:pPr>
        <w:pStyle w:val="3"/>
        <w:spacing w:line="480" w:lineRule="auto"/>
        <w:ind w:firstLine="560"/>
        <w:rPr>
          <w:rFonts w:cs="Times New Roman"/>
        </w:rPr>
      </w:pPr>
      <w:bookmarkStart w:id="21" w:name="_Toc454809996"/>
      <w:r>
        <w:rPr>
          <w:rFonts w:cs="Times New Roman"/>
        </w:rPr>
        <w:t>（二）推进兵团公交企业改革</w:t>
      </w:r>
      <w:bookmarkEnd w:id="21"/>
    </w:p>
    <w:p w:rsidR="00AA0CEC" w:rsidRDefault="00DA349F">
      <w:pPr>
        <w:spacing w:line="480" w:lineRule="auto"/>
        <w:ind w:firstLineChars="175" w:firstLine="420"/>
        <w:rPr>
          <w:rFonts w:cs="Times New Roman"/>
        </w:rPr>
      </w:pPr>
      <w:r>
        <w:rPr>
          <w:rFonts w:cs="Times New Roman" w:hint="eastAsia"/>
        </w:rPr>
        <w:t xml:space="preserve"> </w:t>
      </w:r>
      <w:r>
        <w:rPr>
          <w:rFonts w:cs="Times New Roman"/>
        </w:rPr>
        <w:t>结合国有企业分类改革，按照</w:t>
      </w:r>
      <w:r>
        <w:rPr>
          <w:rFonts w:cs="Times New Roman" w:hint="eastAsia"/>
        </w:rPr>
        <w:t>“</w:t>
      </w:r>
      <w:r>
        <w:rPr>
          <w:rFonts w:cs="Times New Roman"/>
        </w:rPr>
        <w:t>规模经营、适度竞争</w:t>
      </w:r>
      <w:r>
        <w:rPr>
          <w:rFonts w:cs="Times New Roman" w:hint="eastAsia"/>
        </w:rPr>
        <w:t>”</w:t>
      </w:r>
      <w:r>
        <w:rPr>
          <w:rFonts w:cs="Times New Roman"/>
        </w:rPr>
        <w:t>原则，适度调整兵团公交经营主体；完善现代企业制度和国有资产管理体制，提高兵团公交服务效率和能力；引入市场机制，提高兵团公交服务效率和能力；强化监督，建立全权对等、运转协调、有效制衡的决策执行监督机制；鼓励兵团公交企业适度开展与运输服务主业相关的其他经营业务，改善企业财务状况。</w:t>
      </w:r>
    </w:p>
    <w:tbl>
      <w:tblPr>
        <w:tblStyle w:val="a9"/>
        <w:tblW w:w="8522" w:type="dxa"/>
        <w:tblLayout w:type="fixed"/>
        <w:tblLook w:val="04A0"/>
      </w:tblPr>
      <w:tblGrid>
        <w:gridCol w:w="8522"/>
      </w:tblGrid>
      <w:tr w:rsidR="00AA0CEC">
        <w:tc>
          <w:tcPr>
            <w:tcW w:w="8522" w:type="dxa"/>
          </w:tcPr>
          <w:p w:rsidR="00AA0CEC" w:rsidRDefault="00DA349F">
            <w:pPr>
              <w:spacing w:line="480" w:lineRule="auto"/>
              <w:rPr>
                <w:rFonts w:eastAsia="黑体" w:cs="Times New Roman"/>
                <w:b/>
                <w:sz w:val="21"/>
                <w:szCs w:val="21"/>
              </w:rPr>
            </w:pPr>
            <w:r>
              <w:rPr>
                <w:rFonts w:eastAsia="黑体" w:cs="Times New Roman"/>
                <w:b/>
                <w:sz w:val="21"/>
                <w:szCs w:val="21"/>
              </w:rPr>
              <w:lastRenderedPageBreak/>
              <w:t>案例</w:t>
            </w:r>
            <w:r w:rsidR="00BF5651">
              <w:rPr>
                <w:rFonts w:eastAsia="黑体" w:cs="Times New Roman" w:hint="eastAsia"/>
                <w:b/>
                <w:sz w:val="21"/>
                <w:szCs w:val="21"/>
              </w:rPr>
              <w:t>6</w:t>
            </w:r>
            <w:r>
              <w:rPr>
                <w:rFonts w:eastAsia="黑体" w:cs="Times New Roman"/>
                <w:b/>
                <w:sz w:val="21"/>
                <w:szCs w:val="21"/>
              </w:rPr>
              <w:t>：兵团公交企业改革</w:t>
            </w:r>
          </w:p>
          <w:p w:rsidR="00AA0CEC" w:rsidRDefault="00DA349F" w:rsidP="000256A0">
            <w:pPr>
              <w:spacing w:line="480" w:lineRule="auto"/>
              <w:ind w:firstLineChars="196" w:firstLine="412"/>
              <w:rPr>
                <w:rFonts w:eastAsia="黑体" w:cs="Times New Roman"/>
                <w:b/>
                <w:sz w:val="21"/>
                <w:szCs w:val="21"/>
              </w:rPr>
            </w:pPr>
            <w:r>
              <w:rPr>
                <w:rFonts w:eastAsia="仿宋" w:cs="Times New Roman"/>
                <w:b/>
                <w:sz w:val="21"/>
                <w:szCs w:val="21"/>
              </w:rPr>
              <w:t>兵团城市公共交通从无到有，起步于上世纪八十年代初，最早始于兵团第八师（石河子市），成立于</w:t>
            </w:r>
            <w:r>
              <w:rPr>
                <w:rFonts w:eastAsia="仿宋" w:cs="Times New Roman"/>
                <w:b/>
                <w:sz w:val="21"/>
                <w:szCs w:val="21"/>
              </w:rPr>
              <w:t>1983</w:t>
            </w:r>
            <w:r>
              <w:rPr>
                <w:rFonts w:eastAsia="仿宋" w:cs="Times New Roman"/>
                <w:b/>
                <w:sz w:val="21"/>
                <w:szCs w:val="21"/>
              </w:rPr>
              <w:t>年的石河子市公共交通公司（现改制名称：石河子市公共交通有限责任公司）是兵团最早从事城市公共交通服务的企业，创立之初，仅有一条线路（</w:t>
            </w:r>
            <w:r>
              <w:rPr>
                <w:rFonts w:eastAsia="仿宋" w:cs="Times New Roman"/>
                <w:b/>
                <w:sz w:val="21"/>
                <w:szCs w:val="21"/>
              </w:rPr>
              <w:t>1</w:t>
            </w:r>
            <w:r>
              <w:rPr>
                <w:rFonts w:eastAsia="仿宋" w:cs="Times New Roman"/>
                <w:b/>
                <w:sz w:val="21"/>
                <w:szCs w:val="21"/>
              </w:rPr>
              <w:t>路），</w:t>
            </w:r>
            <w:r>
              <w:rPr>
                <w:rFonts w:eastAsia="仿宋" w:cs="Times New Roman"/>
                <w:b/>
                <w:sz w:val="21"/>
                <w:szCs w:val="21"/>
              </w:rPr>
              <w:t>8</w:t>
            </w:r>
            <w:r>
              <w:rPr>
                <w:rFonts w:eastAsia="仿宋" w:cs="Times New Roman"/>
                <w:b/>
                <w:sz w:val="21"/>
                <w:szCs w:val="21"/>
              </w:rPr>
              <w:t>辆公交车辆，主要在石河子老城区内主干线路运营服务。</w:t>
            </w:r>
            <w:r>
              <w:rPr>
                <w:rFonts w:eastAsia="仿宋" w:cs="Times New Roman"/>
                <w:b/>
                <w:sz w:val="21"/>
                <w:szCs w:val="21"/>
              </w:rPr>
              <w:t>2003</w:t>
            </w:r>
            <w:r>
              <w:rPr>
                <w:rFonts w:eastAsia="仿宋" w:cs="Times New Roman"/>
                <w:b/>
                <w:sz w:val="21"/>
                <w:szCs w:val="21"/>
              </w:rPr>
              <w:t>年，该公司由国有全资公司改制为民营股份制公司，随着石河子市城区面积扩大，人口数量增长，出行需求不断增大，该公司已发展成为中型公交客运企业</w:t>
            </w:r>
            <w:r>
              <w:rPr>
                <w:rFonts w:eastAsia="仿宋" w:cs="Times New Roman" w:hint="eastAsia"/>
                <w:b/>
                <w:sz w:val="21"/>
                <w:szCs w:val="21"/>
              </w:rPr>
              <w:t>，（如附件</w:t>
            </w:r>
            <w:r>
              <w:rPr>
                <w:rFonts w:eastAsia="仿宋" w:cs="Times New Roman" w:hint="eastAsia"/>
                <w:b/>
                <w:sz w:val="21"/>
                <w:szCs w:val="21"/>
              </w:rPr>
              <w:t>3</w:t>
            </w:r>
            <w:r>
              <w:rPr>
                <w:rFonts w:eastAsia="仿宋" w:cs="Times New Roman" w:hint="eastAsia"/>
                <w:b/>
                <w:sz w:val="21"/>
                <w:szCs w:val="21"/>
              </w:rPr>
              <w:t>图</w:t>
            </w:r>
            <w:r w:rsidR="00A275C3">
              <w:rPr>
                <w:rFonts w:eastAsia="仿宋" w:cs="Times New Roman" w:hint="eastAsia"/>
                <w:b/>
                <w:sz w:val="21"/>
                <w:szCs w:val="21"/>
              </w:rPr>
              <w:t>1</w:t>
            </w:r>
            <w:r>
              <w:rPr>
                <w:rFonts w:eastAsia="仿宋" w:cs="Times New Roman" w:hint="eastAsia"/>
                <w:b/>
                <w:sz w:val="21"/>
                <w:szCs w:val="21"/>
              </w:rPr>
              <w:t>所示为石河子市</w:t>
            </w:r>
            <w:r>
              <w:rPr>
                <w:rFonts w:eastAsia="仿宋" w:cs="Times New Roman" w:hint="eastAsia"/>
                <w:b/>
                <w:sz w:val="21"/>
                <w:szCs w:val="21"/>
              </w:rPr>
              <w:t>2020</w:t>
            </w:r>
            <w:r>
              <w:rPr>
                <w:rFonts w:eastAsia="仿宋" w:cs="Times New Roman" w:hint="eastAsia"/>
                <w:b/>
                <w:sz w:val="21"/>
                <w:szCs w:val="21"/>
              </w:rPr>
              <w:t>年出行分布图）</w:t>
            </w:r>
            <w:r>
              <w:rPr>
                <w:rFonts w:eastAsia="仿宋" w:cs="Times New Roman"/>
                <w:b/>
                <w:sz w:val="21"/>
                <w:szCs w:val="21"/>
              </w:rPr>
              <w:t>。</w:t>
            </w:r>
            <w:r>
              <w:rPr>
                <w:rFonts w:eastAsia="仿宋" w:cs="Times New Roman"/>
                <w:b/>
                <w:sz w:val="21"/>
                <w:szCs w:val="21"/>
              </w:rPr>
              <w:t>2006</w:t>
            </w:r>
            <w:r>
              <w:rPr>
                <w:rFonts w:eastAsia="仿宋" w:cs="Times New Roman"/>
                <w:b/>
                <w:sz w:val="21"/>
                <w:szCs w:val="21"/>
              </w:rPr>
              <w:t>年</w:t>
            </w:r>
            <w:r>
              <w:rPr>
                <w:rFonts w:eastAsia="仿宋" w:cs="Times New Roman"/>
                <w:b/>
                <w:sz w:val="21"/>
                <w:szCs w:val="21"/>
              </w:rPr>
              <w:t>7</w:t>
            </w:r>
            <w:r>
              <w:rPr>
                <w:rFonts w:eastAsia="仿宋" w:cs="Times New Roman"/>
                <w:b/>
                <w:sz w:val="21"/>
                <w:szCs w:val="21"/>
              </w:rPr>
              <w:t>月兵团第六师（五家渠市）成立了顺通城市公交有限责任公司，为第六师国资公司权属的国有独资公司。该公司成立后，先后增设了</w:t>
            </w:r>
            <w:r>
              <w:rPr>
                <w:rFonts w:eastAsia="仿宋" w:cs="Times New Roman"/>
                <w:b/>
                <w:sz w:val="21"/>
                <w:szCs w:val="21"/>
              </w:rPr>
              <w:t>8</w:t>
            </w:r>
            <w:r>
              <w:rPr>
                <w:rFonts w:eastAsia="仿宋" w:cs="Times New Roman"/>
                <w:b/>
                <w:sz w:val="21"/>
                <w:szCs w:val="21"/>
              </w:rPr>
              <w:t>路、</w:t>
            </w:r>
            <w:r>
              <w:rPr>
                <w:rFonts w:eastAsia="仿宋" w:cs="Times New Roman"/>
                <w:b/>
                <w:sz w:val="21"/>
                <w:szCs w:val="21"/>
              </w:rPr>
              <w:t>3</w:t>
            </w:r>
            <w:r>
              <w:rPr>
                <w:rFonts w:eastAsia="仿宋" w:cs="Times New Roman"/>
                <w:b/>
                <w:sz w:val="21"/>
                <w:szCs w:val="21"/>
              </w:rPr>
              <w:t>路、</w:t>
            </w:r>
            <w:r>
              <w:rPr>
                <w:rFonts w:eastAsia="仿宋" w:cs="Times New Roman"/>
                <w:b/>
                <w:sz w:val="21"/>
                <w:szCs w:val="21"/>
              </w:rPr>
              <w:t>6</w:t>
            </w:r>
            <w:r>
              <w:rPr>
                <w:rFonts w:eastAsia="仿宋" w:cs="Times New Roman"/>
                <w:b/>
                <w:sz w:val="21"/>
                <w:szCs w:val="21"/>
              </w:rPr>
              <w:t>路和</w:t>
            </w:r>
            <w:r>
              <w:rPr>
                <w:rFonts w:eastAsia="仿宋" w:cs="Times New Roman"/>
                <w:b/>
                <w:sz w:val="21"/>
                <w:szCs w:val="21"/>
              </w:rPr>
              <w:t>7</w:t>
            </w:r>
            <w:r>
              <w:rPr>
                <w:rFonts w:eastAsia="仿宋" w:cs="Times New Roman"/>
                <w:b/>
                <w:sz w:val="21"/>
                <w:szCs w:val="21"/>
              </w:rPr>
              <w:t>路，</w:t>
            </w:r>
            <w:r>
              <w:rPr>
                <w:rFonts w:eastAsia="仿宋" w:cs="Times New Roman"/>
                <w:b/>
                <w:sz w:val="21"/>
                <w:szCs w:val="21"/>
              </w:rPr>
              <w:t>4</w:t>
            </w:r>
            <w:r>
              <w:rPr>
                <w:rFonts w:eastAsia="仿宋" w:cs="Times New Roman"/>
                <w:b/>
                <w:sz w:val="21"/>
                <w:szCs w:val="21"/>
              </w:rPr>
              <w:t>条公交线路，增加运营里程</w:t>
            </w:r>
            <w:r>
              <w:rPr>
                <w:rFonts w:eastAsia="仿宋" w:cs="Times New Roman"/>
                <w:b/>
                <w:sz w:val="21"/>
                <w:szCs w:val="21"/>
              </w:rPr>
              <w:t>32.5</w:t>
            </w:r>
            <w:r>
              <w:rPr>
                <w:rFonts w:eastAsia="仿宋" w:cs="Times New Roman"/>
                <w:b/>
                <w:sz w:val="21"/>
                <w:szCs w:val="21"/>
              </w:rPr>
              <w:t>公里，增加站点</w:t>
            </w:r>
            <w:r>
              <w:rPr>
                <w:rFonts w:eastAsia="仿宋" w:cs="Times New Roman"/>
                <w:b/>
                <w:sz w:val="21"/>
                <w:szCs w:val="21"/>
              </w:rPr>
              <w:t>67</w:t>
            </w:r>
            <w:r>
              <w:rPr>
                <w:rFonts w:eastAsia="仿宋" w:cs="Times New Roman"/>
                <w:b/>
                <w:sz w:val="21"/>
                <w:szCs w:val="21"/>
              </w:rPr>
              <w:t>个。在城市中心区域形成了东至农科所、西至园艺场、南至水库、北至</w:t>
            </w:r>
            <w:r>
              <w:rPr>
                <w:rFonts w:eastAsia="仿宋" w:cs="Times New Roman"/>
                <w:b/>
                <w:sz w:val="21"/>
                <w:szCs w:val="21"/>
              </w:rPr>
              <w:t>101</w:t>
            </w:r>
            <w:r>
              <w:rPr>
                <w:rFonts w:eastAsia="仿宋" w:cs="Times New Roman"/>
                <w:b/>
                <w:sz w:val="21"/>
                <w:szCs w:val="21"/>
              </w:rPr>
              <w:t>团五连的三横四纵公交格局，极大的方便了市民的出行</w:t>
            </w:r>
            <w:r>
              <w:rPr>
                <w:rFonts w:eastAsia="仿宋" w:cs="Times New Roman" w:hint="eastAsia"/>
                <w:b/>
                <w:sz w:val="21"/>
                <w:szCs w:val="21"/>
              </w:rPr>
              <w:t>。（如附件</w:t>
            </w:r>
            <w:r>
              <w:rPr>
                <w:rFonts w:eastAsia="仿宋" w:cs="Times New Roman" w:hint="eastAsia"/>
                <w:b/>
                <w:sz w:val="21"/>
                <w:szCs w:val="21"/>
              </w:rPr>
              <w:t>3</w:t>
            </w:r>
            <w:r>
              <w:rPr>
                <w:rFonts w:eastAsia="仿宋" w:cs="Times New Roman" w:hint="eastAsia"/>
                <w:b/>
                <w:sz w:val="21"/>
                <w:szCs w:val="21"/>
              </w:rPr>
              <w:t>图</w:t>
            </w:r>
            <w:r w:rsidR="007F139B">
              <w:rPr>
                <w:rFonts w:eastAsia="仿宋" w:cs="Times New Roman" w:hint="eastAsia"/>
                <w:b/>
                <w:sz w:val="21"/>
                <w:szCs w:val="21"/>
              </w:rPr>
              <w:t>2</w:t>
            </w:r>
            <w:r>
              <w:rPr>
                <w:rFonts w:eastAsia="仿宋" w:cs="Times New Roman" w:hint="eastAsia"/>
                <w:b/>
                <w:sz w:val="21"/>
                <w:szCs w:val="21"/>
              </w:rPr>
              <w:t>所示为</w:t>
            </w:r>
            <w:r>
              <w:rPr>
                <w:rFonts w:eastAsia="仿宋" w:cs="Times New Roman"/>
                <w:b/>
                <w:sz w:val="21"/>
                <w:szCs w:val="21"/>
              </w:rPr>
              <w:t>五家渠市</w:t>
            </w:r>
            <w:r>
              <w:rPr>
                <w:rFonts w:eastAsia="仿宋" w:cs="Times New Roman" w:hint="eastAsia"/>
                <w:b/>
                <w:sz w:val="21"/>
                <w:szCs w:val="21"/>
              </w:rPr>
              <w:t>近期公交线网布局规划图）</w:t>
            </w:r>
            <w:r>
              <w:rPr>
                <w:rFonts w:eastAsia="仿宋" w:cs="Times New Roman"/>
                <w:b/>
                <w:sz w:val="21"/>
                <w:szCs w:val="21"/>
              </w:rPr>
              <w:t>。</w:t>
            </w:r>
          </w:p>
        </w:tc>
      </w:tr>
    </w:tbl>
    <w:p w:rsidR="00AA0CEC" w:rsidRDefault="00DA349F" w:rsidP="000256A0">
      <w:pPr>
        <w:pStyle w:val="3"/>
        <w:spacing w:line="480" w:lineRule="auto"/>
        <w:ind w:firstLine="560"/>
        <w:rPr>
          <w:rFonts w:cs="Times New Roman"/>
        </w:rPr>
      </w:pPr>
      <w:bookmarkStart w:id="22" w:name="_Toc454809997"/>
      <w:r>
        <w:rPr>
          <w:rFonts w:cs="Times New Roman"/>
        </w:rPr>
        <w:t>（三）建立政府购买兵团公交服务机制</w:t>
      </w:r>
      <w:bookmarkEnd w:id="22"/>
    </w:p>
    <w:p w:rsidR="00AA0CEC" w:rsidRDefault="00DA349F">
      <w:pPr>
        <w:spacing w:line="480" w:lineRule="auto"/>
        <w:ind w:firstLineChars="175" w:firstLine="420"/>
        <w:rPr>
          <w:rFonts w:cs="Times New Roman"/>
        </w:rPr>
      </w:pPr>
      <w:r>
        <w:rPr>
          <w:rFonts w:cs="Times New Roman"/>
        </w:rPr>
        <w:t>在兵团公交领域建立政府购买服务制度，指导兵团科学制定与公众基本需求及公共财政保障能力相适应的兵团公交服务购买方案，并依法采取特许经营等方式确定经营主体。制定并落实兵团公交服务质量考评标准，指导兵团各师定期考核公交企业服务质量，并将考核结果作为衡量兵团公交企业运营绩效、发放财政补贴、实施市场准入与退出的重要依据。</w:t>
      </w:r>
    </w:p>
    <w:p w:rsidR="00AA0CEC" w:rsidRDefault="00DA349F" w:rsidP="000256A0">
      <w:pPr>
        <w:pStyle w:val="3"/>
        <w:spacing w:line="480" w:lineRule="auto"/>
        <w:ind w:firstLine="560"/>
        <w:rPr>
          <w:rFonts w:cs="Times New Roman"/>
        </w:rPr>
      </w:pPr>
      <w:bookmarkStart w:id="23" w:name="_Toc454809998"/>
      <w:r>
        <w:rPr>
          <w:rFonts w:cs="Times New Roman"/>
        </w:rPr>
        <w:t>（四）建立票制票价制定和协调机制</w:t>
      </w:r>
      <w:bookmarkEnd w:id="23"/>
    </w:p>
    <w:p w:rsidR="00AA0CEC" w:rsidRDefault="00DA349F">
      <w:pPr>
        <w:spacing w:line="480" w:lineRule="auto"/>
        <w:ind w:firstLineChars="200" w:firstLine="480"/>
        <w:rPr>
          <w:rFonts w:cs="Times New Roman"/>
        </w:rPr>
      </w:pPr>
      <w:r>
        <w:rPr>
          <w:rFonts w:cs="Times New Roman"/>
        </w:rPr>
        <w:t>制定兵团公交企业运营成本核算范围，建立兵团公交成本票价制度。依据兵</w:t>
      </w:r>
      <w:r>
        <w:rPr>
          <w:rFonts w:cs="Times New Roman"/>
        </w:rPr>
        <w:lastRenderedPageBreak/>
        <w:t>团公交成本票价，并综合考虑兵团居民生活水平、公共财政能力、企业可持续发展等因素，确定合理的兵团公交票制和执行票价。建立兵团公交票价动态调节机制，基于劳动成本、燃料价格等影响因素的变化，及时预算、调整城市公交成本票价和执行票价。对执行票价低于成本票价的部分，建立完善公共财政补贴机制。会同价格、财政、审计等部门建立兵团公交成本费用监审制度，对兵团公交企业成本和费用进行评审，合理界定和核算盈亏，为财政补贴补偿提供必要依据。</w:t>
      </w:r>
    </w:p>
    <w:tbl>
      <w:tblPr>
        <w:tblStyle w:val="a9"/>
        <w:tblW w:w="8522" w:type="dxa"/>
        <w:tblLayout w:type="fixed"/>
        <w:tblLook w:val="04A0"/>
      </w:tblPr>
      <w:tblGrid>
        <w:gridCol w:w="8522"/>
      </w:tblGrid>
      <w:tr w:rsidR="00AA0CEC">
        <w:tc>
          <w:tcPr>
            <w:tcW w:w="8522" w:type="dxa"/>
          </w:tcPr>
          <w:p w:rsidR="00AA0CEC" w:rsidRDefault="00DA349F">
            <w:pPr>
              <w:spacing w:line="480" w:lineRule="auto"/>
              <w:rPr>
                <w:rFonts w:eastAsia="黑体" w:cs="Times New Roman"/>
                <w:b/>
                <w:sz w:val="21"/>
                <w:szCs w:val="21"/>
              </w:rPr>
            </w:pPr>
            <w:r>
              <w:rPr>
                <w:rFonts w:eastAsia="黑体" w:cs="Times New Roman"/>
                <w:b/>
                <w:sz w:val="21"/>
                <w:szCs w:val="21"/>
              </w:rPr>
              <w:t>案例</w:t>
            </w:r>
            <w:r w:rsidR="00BF5651">
              <w:rPr>
                <w:rFonts w:eastAsia="黑体" w:cs="Times New Roman" w:hint="eastAsia"/>
                <w:b/>
                <w:sz w:val="21"/>
                <w:szCs w:val="21"/>
              </w:rPr>
              <w:t>7</w:t>
            </w:r>
            <w:r>
              <w:rPr>
                <w:rFonts w:eastAsia="黑体" w:cs="Times New Roman"/>
                <w:b/>
                <w:sz w:val="21"/>
                <w:szCs w:val="21"/>
              </w:rPr>
              <w:t>：建立票价制度</w:t>
            </w:r>
          </w:p>
          <w:p w:rsidR="00AA0CEC" w:rsidRDefault="00DA349F" w:rsidP="000256A0">
            <w:pPr>
              <w:spacing w:line="480" w:lineRule="auto"/>
              <w:ind w:firstLineChars="200" w:firstLine="420"/>
              <w:rPr>
                <w:rFonts w:cs="Times New Roman"/>
                <w:b/>
              </w:rPr>
            </w:pPr>
            <w:r>
              <w:rPr>
                <w:rFonts w:eastAsia="仿宋" w:cs="Times New Roman"/>
                <w:b/>
                <w:sz w:val="21"/>
                <w:szCs w:val="21"/>
              </w:rPr>
              <w:t>2013</w:t>
            </w:r>
            <w:r>
              <w:rPr>
                <w:rFonts w:eastAsia="仿宋" w:cs="Times New Roman"/>
                <w:b/>
                <w:sz w:val="21"/>
                <w:szCs w:val="21"/>
              </w:rPr>
              <w:t>年</w:t>
            </w:r>
            <w:r>
              <w:rPr>
                <w:rFonts w:eastAsia="仿宋" w:cs="Times New Roman"/>
                <w:b/>
                <w:sz w:val="21"/>
                <w:szCs w:val="21"/>
              </w:rPr>
              <w:t>5</w:t>
            </w:r>
            <w:r>
              <w:rPr>
                <w:rFonts w:eastAsia="仿宋" w:cs="Times New Roman"/>
                <w:b/>
                <w:sz w:val="21"/>
                <w:szCs w:val="21"/>
              </w:rPr>
              <w:t>月</w:t>
            </w:r>
            <w:r>
              <w:rPr>
                <w:rFonts w:eastAsia="仿宋" w:cs="Times New Roman"/>
                <w:b/>
                <w:sz w:val="21"/>
                <w:szCs w:val="21"/>
              </w:rPr>
              <w:t>10</w:t>
            </w:r>
            <w:r>
              <w:rPr>
                <w:rFonts w:eastAsia="仿宋" w:cs="Times New Roman"/>
                <w:b/>
                <w:sz w:val="21"/>
                <w:szCs w:val="21"/>
              </w:rPr>
              <w:t>日新疆生产建设兵团第十二师（乌鲁木齐市）新开通</w:t>
            </w:r>
            <w:r>
              <w:rPr>
                <w:rFonts w:eastAsia="仿宋" w:cs="Times New Roman"/>
                <w:b/>
                <w:sz w:val="21"/>
                <w:szCs w:val="21"/>
              </w:rPr>
              <w:t>7</w:t>
            </w:r>
            <w:r>
              <w:rPr>
                <w:rFonts w:eastAsia="仿宋" w:cs="Times New Roman"/>
                <w:b/>
                <w:sz w:val="21"/>
                <w:szCs w:val="21"/>
              </w:rPr>
              <w:t>条公交线路，站点基本覆盖各个连队和作业点。票价实行一元一票制，今后可逐步实现学生卡和老年卡的刷卡业务，持有老年优待证的居民可免费乘车。此次开通的</w:t>
            </w:r>
            <w:r>
              <w:rPr>
                <w:rFonts w:eastAsia="仿宋" w:cs="Times New Roman"/>
                <w:b/>
                <w:sz w:val="21"/>
                <w:szCs w:val="21"/>
              </w:rPr>
              <w:t>7</w:t>
            </w:r>
            <w:r>
              <w:rPr>
                <w:rFonts w:eastAsia="仿宋" w:cs="Times New Roman"/>
                <w:b/>
                <w:sz w:val="21"/>
                <w:szCs w:val="21"/>
              </w:rPr>
              <w:t>条线路，共有站点</w:t>
            </w:r>
            <w:r>
              <w:rPr>
                <w:rFonts w:eastAsia="仿宋" w:cs="Times New Roman"/>
                <w:b/>
                <w:sz w:val="21"/>
                <w:szCs w:val="21"/>
              </w:rPr>
              <w:t>93</w:t>
            </w:r>
            <w:r>
              <w:rPr>
                <w:rFonts w:eastAsia="仿宋" w:cs="Times New Roman"/>
                <w:b/>
                <w:sz w:val="21"/>
                <w:szCs w:val="21"/>
              </w:rPr>
              <w:t>个，基本覆盖到头屯河农场、三坪农场、五一农场和西山农场所属的各个连队和作业点。也就是说，公交车可以把团场职工直接送到自己的田间地头。此外，北屯市和阿拉尔市公交公司正在筹建之中。</w:t>
            </w:r>
          </w:p>
        </w:tc>
      </w:tr>
    </w:tbl>
    <w:p w:rsidR="00AA0CEC" w:rsidRDefault="00DA349F" w:rsidP="000256A0">
      <w:pPr>
        <w:pStyle w:val="3"/>
        <w:spacing w:line="480" w:lineRule="auto"/>
        <w:ind w:firstLine="560"/>
        <w:rPr>
          <w:rFonts w:cs="Times New Roman"/>
        </w:rPr>
      </w:pPr>
      <w:bookmarkStart w:id="24" w:name="_Toc454809999"/>
      <w:r>
        <w:rPr>
          <w:rFonts w:cs="Times New Roman"/>
        </w:rPr>
        <w:t>（五）健全公共交通用地综合开发政策落实机制</w:t>
      </w:r>
      <w:bookmarkEnd w:id="24"/>
    </w:p>
    <w:p w:rsidR="00AA0CEC" w:rsidRDefault="00DA349F">
      <w:pPr>
        <w:spacing w:line="480" w:lineRule="auto"/>
        <w:ind w:firstLine="420"/>
        <w:rPr>
          <w:rFonts w:cs="Times New Roman"/>
        </w:rPr>
      </w:pPr>
      <w:r>
        <w:rPr>
          <w:rFonts w:cs="Times New Roman"/>
        </w:rPr>
        <w:t>细化兵团公交用地综合开发政策，优先满足和节约集约利用兵团公交用地。推动兵团公交枢纽周边和兵团轨道交通、快速公共交通系统等兵团公交走廊沿线土地的综合开发利用，促进兵团公交与周边区域协同发展。建立健全兵团公交用地综合开发增值效益反哺机制，保障用地综合开发收益用于兵团公交基础设施建设和弥补运营亏损。</w:t>
      </w:r>
    </w:p>
    <w:p w:rsidR="00AA0CEC" w:rsidRDefault="00DA349F">
      <w:pPr>
        <w:pStyle w:val="2"/>
        <w:spacing w:line="480" w:lineRule="auto"/>
        <w:ind w:firstLine="602"/>
        <w:rPr>
          <w:rFonts w:ascii="Times New Roman" w:hAnsi="Times New Roman" w:cs="Times New Roman"/>
        </w:rPr>
      </w:pPr>
      <w:bookmarkStart w:id="25" w:name="_Toc454810000"/>
      <w:r>
        <w:rPr>
          <w:rFonts w:ascii="Times New Roman" w:hAnsi="Times New Roman" w:cs="Times New Roman"/>
        </w:rPr>
        <w:lastRenderedPageBreak/>
        <w:t>六、建设</w:t>
      </w:r>
      <w:r w:rsidR="00C22AE1">
        <w:rPr>
          <w:rFonts w:ascii="Times New Roman" w:hAnsi="Times New Roman" w:cs="Times New Roman" w:hint="eastAsia"/>
        </w:rPr>
        <w:t>“</w:t>
      </w:r>
      <w:r w:rsidR="00C22AE1">
        <w:rPr>
          <w:rFonts w:ascii="Times New Roman" w:hAnsi="Times New Roman" w:cs="Times New Roman"/>
        </w:rPr>
        <w:t>互联网</w:t>
      </w:r>
      <w:r w:rsidR="00C22AE1">
        <w:rPr>
          <w:rFonts w:cs="Times New Roman"/>
        </w:rPr>
        <w:t>+</w:t>
      </w:r>
      <w:r w:rsidR="00C22AE1">
        <w:rPr>
          <w:rFonts w:ascii="Times New Roman" w:hAnsi="Times New Roman" w:cs="Times New Roman" w:hint="eastAsia"/>
        </w:rPr>
        <w:t>”</w:t>
      </w:r>
      <w:r>
        <w:rPr>
          <w:rFonts w:ascii="Times New Roman" w:hAnsi="Times New Roman" w:cs="Times New Roman"/>
        </w:rPr>
        <w:t>智能公交系统</w:t>
      </w:r>
      <w:bookmarkEnd w:id="25"/>
    </w:p>
    <w:p w:rsidR="00AA0CEC" w:rsidRDefault="00DA349F" w:rsidP="000256A0">
      <w:pPr>
        <w:pStyle w:val="3"/>
        <w:spacing w:line="480" w:lineRule="auto"/>
        <w:ind w:firstLine="560"/>
        <w:rPr>
          <w:rFonts w:cs="Times New Roman"/>
        </w:rPr>
      </w:pPr>
      <w:bookmarkStart w:id="26" w:name="_Toc454810001"/>
      <w:r>
        <w:rPr>
          <w:rFonts w:cs="Times New Roman"/>
        </w:rPr>
        <w:t>（一）建设兵团公交智能化应用系统</w:t>
      </w:r>
      <w:bookmarkEnd w:id="26"/>
    </w:p>
    <w:p w:rsidR="00AA0CEC" w:rsidRDefault="00DA349F">
      <w:pPr>
        <w:spacing w:line="480" w:lineRule="auto"/>
        <w:ind w:firstLineChars="200" w:firstLine="480"/>
        <w:rPr>
          <w:rFonts w:cs="Times New Roman"/>
        </w:rPr>
      </w:pPr>
      <w:r>
        <w:rPr>
          <w:rFonts w:cs="Times New Roman"/>
        </w:rPr>
        <w:t>深化兵团公交智能化应用示范工程，加快推进兵团公交信息资源的深度开发和综合利用，为管理部门和运营企业科学决策提供支撑。建设全面、可感知的兵团公交数据采集体系，完善信息统计上报制度，加快建立兵团公交数据资源交换体系与机制，建设兵团公交数据库和兵团公交发展水平绩效评价系统，实现对兵团公交发展水平的定期评价。</w:t>
      </w:r>
    </w:p>
    <w:p w:rsidR="00AA0CEC" w:rsidRDefault="00DA349F" w:rsidP="000256A0">
      <w:pPr>
        <w:pStyle w:val="3"/>
        <w:spacing w:line="480" w:lineRule="auto"/>
        <w:ind w:firstLine="560"/>
        <w:rPr>
          <w:rFonts w:cs="Times New Roman"/>
        </w:rPr>
      </w:pPr>
      <w:bookmarkStart w:id="27" w:name="_Toc454810002"/>
      <w:r>
        <w:rPr>
          <w:rFonts w:cs="Times New Roman"/>
        </w:rPr>
        <w:t>（二）推进</w:t>
      </w:r>
      <w:r>
        <w:rPr>
          <w:rFonts w:cs="Times New Roman"/>
        </w:rPr>
        <w:t>“</w:t>
      </w:r>
      <w:r>
        <w:rPr>
          <w:rFonts w:cs="Times New Roman"/>
        </w:rPr>
        <w:t>互联网</w:t>
      </w:r>
      <w:r>
        <w:rPr>
          <w:rFonts w:cs="Times New Roman"/>
        </w:rPr>
        <w:t>+</w:t>
      </w:r>
      <w:r>
        <w:rPr>
          <w:rFonts w:cs="Times New Roman"/>
        </w:rPr>
        <w:t>兵团公交</w:t>
      </w:r>
      <w:r>
        <w:rPr>
          <w:rFonts w:cs="Times New Roman"/>
        </w:rPr>
        <w:t>”</w:t>
      </w:r>
      <w:r>
        <w:rPr>
          <w:rFonts w:cs="Times New Roman"/>
        </w:rPr>
        <w:t>发展</w:t>
      </w:r>
      <w:bookmarkEnd w:id="27"/>
    </w:p>
    <w:p w:rsidR="00AA0CEC" w:rsidRDefault="00DA349F">
      <w:pPr>
        <w:spacing w:line="480" w:lineRule="auto"/>
        <w:ind w:firstLineChars="200" w:firstLine="480"/>
        <w:rPr>
          <w:rFonts w:cs="Times New Roman"/>
        </w:rPr>
      </w:pPr>
      <w:r>
        <w:rPr>
          <w:rFonts w:cs="Times New Roman"/>
        </w:rPr>
        <w:t>充分利用社会资源和企业力量，大力推进大数据、云计算、移动互联网技术在兵团公交出行信息服务领域的广泛应用，推动具有兵团公交便捷出行引导的智慧型综合出行信息服务系统建设，向公众提供全链条、全方式、跨区域的综合交通</w:t>
      </w:r>
      <w:r w:rsidR="00A30951">
        <w:rPr>
          <w:rFonts w:cs="Times New Roman" w:hint="eastAsia"/>
        </w:rPr>
        <w:t>“</w:t>
      </w:r>
      <w:r w:rsidR="00A30951">
        <w:rPr>
          <w:rFonts w:cs="Times New Roman"/>
        </w:rPr>
        <w:t>一站式</w:t>
      </w:r>
      <w:r w:rsidR="00A30951">
        <w:rPr>
          <w:rFonts w:cs="Times New Roman" w:hint="eastAsia"/>
        </w:rPr>
        <w:t>”</w:t>
      </w:r>
      <w:r>
        <w:rPr>
          <w:rFonts w:cs="Times New Roman"/>
        </w:rPr>
        <w:t>信息服务。大力推广兵团公交一卡通、移动支付、电子客票等技术在兵团公交领域的应用，更好地实现统一便捷支付。鼓励和规范移动互联网技术在个性化公交服务中的推广应用，推进多元化公交服务网络建设。研究制定兵团交通运行状况评价规范，充分利用移动互联网技术加强对兵团交通运行状况监测、分析和预判，定期发布兵团交通运行指数。</w:t>
      </w:r>
    </w:p>
    <w:p w:rsidR="00AA0CEC" w:rsidRDefault="00DC389D">
      <w:pPr>
        <w:pStyle w:val="2"/>
        <w:spacing w:line="480" w:lineRule="auto"/>
        <w:ind w:firstLine="602"/>
        <w:rPr>
          <w:rFonts w:ascii="Times New Roman" w:hAnsi="Times New Roman" w:cs="Times New Roman"/>
        </w:rPr>
      </w:pPr>
      <w:bookmarkStart w:id="28" w:name="_Toc454810003"/>
      <w:r>
        <w:rPr>
          <w:rFonts w:ascii="Times New Roman" w:hAnsi="Times New Roman" w:cs="Times New Roman"/>
        </w:rPr>
        <w:t>七、</w:t>
      </w:r>
      <w:r>
        <w:rPr>
          <w:rFonts w:ascii="Times New Roman" w:hAnsi="Times New Roman" w:cs="Times New Roman" w:hint="eastAsia"/>
        </w:rPr>
        <w:t>打造绿色出行交通网络</w:t>
      </w:r>
      <w:bookmarkEnd w:id="28"/>
    </w:p>
    <w:p w:rsidR="00AA0CEC" w:rsidRDefault="00DA349F" w:rsidP="000256A0">
      <w:pPr>
        <w:pStyle w:val="3"/>
        <w:spacing w:line="480" w:lineRule="auto"/>
        <w:ind w:firstLine="560"/>
        <w:rPr>
          <w:rFonts w:cs="Times New Roman"/>
        </w:rPr>
      </w:pPr>
      <w:bookmarkStart w:id="29" w:name="_Toc454810004"/>
      <w:r>
        <w:rPr>
          <w:rFonts w:cs="Times New Roman"/>
        </w:rPr>
        <w:t>（一）合理选择交通疏导措施</w:t>
      </w:r>
      <w:bookmarkEnd w:id="29"/>
    </w:p>
    <w:p w:rsidR="00AA0CEC" w:rsidRDefault="00DA349F">
      <w:pPr>
        <w:spacing w:line="480" w:lineRule="auto"/>
        <w:ind w:firstLineChars="200" w:firstLine="480"/>
        <w:rPr>
          <w:rFonts w:cs="Times New Roman"/>
        </w:rPr>
      </w:pPr>
      <w:r>
        <w:rPr>
          <w:rFonts w:cs="Times New Roman" w:hint="eastAsia"/>
        </w:rPr>
        <w:t>综合</w:t>
      </w:r>
      <w:r>
        <w:rPr>
          <w:rFonts w:cs="Times New Roman"/>
        </w:rPr>
        <w:t>考虑兵团人口规模、地理形态、空间布局和交通发展阶段的差异性，引</w:t>
      </w:r>
      <w:r>
        <w:rPr>
          <w:rFonts w:cs="Times New Roman"/>
        </w:rPr>
        <w:lastRenderedPageBreak/>
        <w:t>导各地依法建立以经济手段为主、行政手段为辅的差异化交通拥堵治理措施。依据兵团交通状况，加强出租汽车运营调度和管理，充分利用移动互联技术，有效降低出租汽车空驶率</w:t>
      </w:r>
      <w:r w:rsidR="003E7390">
        <w:rPr>
          <w:rFonts w:cs="Times New Roman" w:hint="eastAsia"/>
        </w:rPr>
        <w:t>，提公交车出行率</w:t>
      </w:r>
      <w:r>
        <w:rPr>
          <w:rFonts w:cs="Times New Roman"/>
        </w:rPr>
        <w:t>。</w:t>
      </w:r>
      <w:r>
        <w:rPr>
          <w:rFonts w:cs="Times New Roman"/>
        </w:rPr>
        <w:t xml:space="preserve"> </w:t>
      </w:r>
    </w:p>
    <w:p w:rsidR="00AA0CEC" w:rsidRDefault="00DA349F" w:rsidP="000256A0">
      <w:pPr>
        <w:pStyle w:val="3"/>
        <w:spacing w:line="480" w:lineRule="auto"/>
        <w:ind w:firstLine="560"/>
        <w:rPr>
          <w:rFonts w:cs="Times New Roman"/>
        </w:rPr>
      </w:pPr>
      <w:bookmarkStart w:id="30" w:name="_Toc454810005"/>
      <w:r>
        <w:rPr>
          <w:rFonts w:cs="Times New Roman"/>
        </w:rPr>
        <w:t>（二）改善慢性交通出行环境</w:t>
      </w:r>
      <w:bookmarkEnd w:id="30"/>
    </w:p>
    <w:p w:rsidR="00AA0CEC" w:rsidRDefault="00DA349F">
      <w:pPr>
        <w:spacing w:line="480" w:lineRule="auto"/>
        <w:ind w:firstLineChars="200" w:firstLine="480"/>
        <w:rPr>
          <w:rFonts w:cs="Times New Roman"/>
        </w:rPr>
      </w:pPr>
      <w:r>
        <w:rPr>
          <w:rFonts w:cs="Times New Roman"/>
        </w:rPr>
        <w:t>构建</w:t>
      </w:r>
      <w:r w:rsidR="00C22AE1">
        <w:rPr>
          <w:rFonts w:cs="Times New Roman" w:hint="eastAsia"/>
        </w:rPr>
        <w:t>“</w:t>
      </w:r>
      <w:r w:rsidR="00C22AE1">
        <w:rPr>
          <w:rFonts w:cs="Times New Roman"/>
        </w:rPr>
        <w:t>安全、公平、便捷、连续、舒适、优美</w:t>
      </w:r>
      <w:r w:rsidR="00C22AE1">
        <w:rPr>
          <w:rFonts w:cs="Times New Roman" w:hint="eastAsia"/>
        </w:rPr>
        <w:t>”</w:t>
      </w:r>
      <w:r>
        <w:rPr>
          <w:rFonts w:cs="Times New Roman"/>
        </w:rPr>
        <w:t>的步行、自行车等慢行交通系统，引导公众选择绿色方式出行。因地制宜编制兵团公共自行车交通系统专项规，明确兵团公共自行车的发展定位、设施网络、运营模式和保障机制。科学建设兵团公共自行车道及停放设施，在兵团公交场站、商业办公场所和社区等提供充足、便捷的兵团公共自行车停车位。完善兵团公共自行车运营服务机制，建立兵团公共自行车智能调度系统。</w:t>
      </w:r>
    </w:p>
    <w:tbl>
      <w:tblPr>
        <w:tblStyle w:val="a9"/>
        <w:tblW w:w="8522" w:type="dxa"/>
        <w:tblLayout w:type="fixed"/>
        <w:tblLook w:val="04A0"/>
      </w:tblPr>
      <w:tblGrid>
        <w:gridCol w:w="8522"/>
      </w:tblGrid>
      <w:tr w:rsidR="00AA0CEC">
        <w:tc>
          <w:tcPr>
            <w:tcW w:w="8522" w:type="dxa"/>
          </w:tcPr>
          <w:p w:rsidR="00AA0CEC" w:rsidRDefault="00DA349F">
            <w:pPr>
              <w:spacing w:line="480" w:lineRule="auto"/>
              <w:rPr>
                <w:rFonts w:eastAsia="黑体" w:cs="Times New Roman"/>
                <w:b/>
                <w:sz w:val="21"/>
                <w:szCs w:val="21"/>
              </w:rPr>
            </w:pPr>
            <w:r>
              <w:rPr>
                <w:rFonts w:eastAsia="黑体" w:cs="Times New Roman"/>
                <w:b/>
                <w:sz w:val="21"/>
                <w:szCs w:val="21"/>
              </w:rPr>
              <w:t>案例</w:t>
            </w:r>
            <w:r w:rsidR="00BF5651">
              <w:rPr>
                <w:rFonts w:eastAsia="黑体" w:cs="Times New Roman" w:hint="eastAsia"/>
                <w:b/>
                <w:sz w:val="21"/>
                <w:szCs w:val="21"/>
              </w:rPr>
              <w:t>8</w:t>
            </w:r>
            <w:r>
              <w:rPr>
                <w:rFonts w:eastAsia="黑体" w:cs="Times New Roman"/>
                <w:b/>
                <w:sz w:val="21"/>
                <w:szCs w:val="21"/>
              </w:rPr>
              <w:t>：公共自行车与公共交通无缝衔接</w:t>
            </w:r>
          </w:p>
          <w:p w:rsidR="00AA0CEC" w:rsidRDefault="00DA349F" w:rsidP="000256A0">
            <w:pPr>
              <w:spacing w:line="480" w:lineRule="auto"/>
              <w:ind w:firstLineChars="200" w:firstLine="420"/>
              <w:rPr>
                <w:rFonts w:eastAsia="仿宋" w:cs="Times New Roman"/>
                <w:sz w:val="21"/>
                <w:szCs w:val="21"/>
              </w:rPr>
            </w:pPr>
            <w:r>
              <w:rPr>
                <w:rFonts w:eastAsia="仿宋" w:cs="Times New Roman"/>
                <w:b/>
                <w:sz w:val="21"/>
                <w:szCs w:val="21"/>
              </w:rPr>
              <w:t>目前，国内包括：杭州、武汉、苏州、北京、南京、株洲等城市相继推出了公共自行车租赁服务，公共自行车作为一种绿色交通方式，是城市交通中</w:t>
            </w:r>
            <w:r>
              <w:rPr>
                <w:rFonts w:eastAsia="仿宋" w:cs="Times New Roman"/>
                <w:b/>
                <w:sz w:val="21"/>
                <w:szCs w:val="21"/>
              </w:rPr>
              <w:t>“</w:t>
            </w:r>
            <w:r>
              <w:rPr>
                <w:rFonts w:eastAsia="仿宋" w:cs="Times New Roman"/>
                <w:b/>
                <w:sz w:val="21"/>
                <w:szCs w:val="21"/>
              </w:rPr>
              <w:t>慢行交通</w:t>
            </w:r>
            <w:r>
              <w:rPr>
                <w:rFonts w:eastAsia="仿宋" w:cs="Times New Roman"/>
                <w:b/>
                <w:sz w:val="21"/>
                <w:szCs w:val="21"/>
              </w:rPr>
              <w:t>”</w:t>
            </w:r>
            <w:r>
              <w:rPr>
                <w:rFonts w:eastAsia="仿宋" w:cs="Times New Roman"/>
                <w:b/>
                <w:sz w:val="21"/>
                <w:szCs w:val="21"/>
              </w:rPr>
              <w:t>的一个重要组成部分，缓解城市交通拥堵、空气污染等交通问题，也能很好的提高道路资源利用率、缓解交通压力、节约能耗，解决了市民出行</w:t>
            </w:r>
            <w:r>
              <w:rPr>
                <w:rFonts w:eastAsia="仿宋" w:cs="Times New Roman"/>
                <w:b/>
                <w:sz w:val="21"/>
                <w:szCs w:val="21"/>
              </w:rPr>
              <w:t>“</w:t>
            </w:r>
            <w:r>
              <w:rPr>
                <w:rFonts w:eastAsia="仿宋" w:cs="Times New Roman"/>
                <w:b/>
                <w:sz w:val="21"/>
                <w:szCs w:val="21"/>
              </w:rPr>
              <w:t>最后一公里</w:t>
            </w:r>
            <w:r>
              <w:rPr>
                <w:rFonts w:eastAsia="仿宋" w:cs="Times New Roman"/>
                <w:b/>
                <w:sz w:val="21"/>
                <w:szCs w:val="21"/>
              </w:rPr>
              <w:t>”</w:t>
            </w:r>
            <w:r>
              <w:rPr>
                <w:rFonts w:eastAsia="仿宋" w:cs="Times New Roman"/>
                <w:b/>
                <w:sz w:val="21"/>
                <w:szCs w:val="21"/>
              </w:rPr>
              <w:t>的难题，实现与公共交通网络的无缝衔接。</w:t>
            </w:r>
          </w:p>
        </w:tc>
      </w:tr>
    </w:tbl>
    <w:p w:rsidR="00AA0CEC" w:rsidRDefault="00DA349F" w:rsidP="000256A0">
      <w:pPr>
        <w:pStyle w:val="3"/>
        <w:spacing w:line="480" w:lineRule="auto"/>
        <w:ind w:firstLine="560"/>
        <w:rPr>
          <w:rFonts w:cs="Times New Roman"/>
        </w:rPr>
      </w:pPr>
      <w:bookmarkStart w:id="31" w:name="_Toc454810006"/>
      <w:r>
        <w:rPr>
          <w:rFonts w:cs="Times New Roman"/>
        </w:rPr>
        <w:t>（三）加强兵团静态交通管理</w:t>
      </w:r>
      <w:bookmarkEnd w:id="31"/>
    </w:p>
    <w:p w:rsidR="00AA0CEC" w:rsidRDefault="00DA349F">
      <w:pPr>
        <w:spacing w:line="480" w:lineRule="auto"/>
        <w:ind w:firstLineChars="200" w:firstLine="480"/>
        <w:rPr>
          <w:rFonts w:cs="Times New Roman"/>
        </w:rPr>
      </w:pPr>
      <w:r>
        <w:rPr>
          <w:rFonts w:cs="Times New Roman"/>
        </w:rPr>
        <w:t>科学规划建设停车设施，支持对兵团中心城区实行分区域、分时段、分标准的差别化停车收费政策。对道路供需矛盾突出、兵团公交相对发达的区域，可适当限制停车位供给，并推行时间累进制停车费率政策；鼓励群众换乘兵团公交进入中心城区。</w:t>
      </w:r>
    </w:p>
    <w:p w:rsidR="00AA0CEC" w:rsidRDefault="00DA349F" w:rsidP="000256A0">
      <w:pPr>
        <w:pStyle w:val="3"/>
        <w:spacing w:line="480" w:lineRule="auto"/>
        <w:ind w:firstLine="560"/>
        <w:rPr>
          <w:rFonts w:cs="Times New Roman"/>
        </w:rPr>
      </w:pPr>
      <w:bookmarkStart w:id="32" w:name="_Toc454810007"/>
      <w:r>
        <w:rPr>
          <w:rFonts w:cs="Times New Roman"/>
        </w:rPr>
        <w:lastRenderedPageBreak/>
        <w:t>（四）</w:t>
      </w:r>
      <w:r w:rsidR="00C22AE1">
        <w:rPr>
          <w:rFonts w:cs="Times New Roman" w:hint="eastAsia"/>
        </w:rPr>
        <w:t>不断完善绿色出行基础设施建设</w:t>
      </w:r>
      <w:bookmarkEnd w:id="32"/>
    </w:p>
    <w:p w:rsidR="00AA0CEC" w:rsidRPr="00C22AE1" w:rsidRDefault="00C22AE1" w:rsidP="00C22AE1">
      <w:pPr>
        <w:ind w:firstLineChars="200" w:firstLine="480"/>
      </w:pPr>
      <w:r w:rsidRPr="00C22AE1">
        <w:rPr>
          <w:rFonts w:hint="eastAsia"/>
        </w:rPr>
        <w:t>加快城乡路网建设和旅游干线公路的升级改造，采用节能环保的景观路灯，形成靓丽的生态景观大道。优化公交场站建设，进行合理交通组织与换乘设计，在公交站点为乘客提供完善的公共交通信息服务。规划建设以人为本的自行车道和步行街，加强机动车、自行车、电动车停放场所的建设和管理。</w:t>
      </w:r>
    </w:p>
    <w:p w:rsidR="00AA0CEC" w:rsidRDefault="00DA349F">
      <w:pPr>
        <w:pStyle w:val="2"/>
        <w:spacing w:line="480" w:lineRule="auto"/>
        <w:ind w:firstLine="602"/>
        <w:rPr>
          <w:rFonts w:ascii="Times New Roman" w:hAnsi="Times New Roman" w:cs="Times New Roman"/>
        </w:rPr>
      </w:pPr>
      <w:bookmarkStart w:id="33" w:name="_Toc454810008"/>
      <w:r>
        <w:rPr>
          <w:rFonts w:ascii="Times New Roman" w:hAnsi="Times New Roman" w:cs="Times New Roman"/>
        </w:rPr>
        <w:t>八、保障措施</w:t>
      </w:r>
      <w:bookmarkEnd w:id="33"/>
    </w:p>
    <w:p w:rsidR="00AA0CEC" w:rsidRDefault="00DA349F" w:rsidP="000256A0">
      <w:pPr>
        <w:pStyle w:val="3"/>
        <w:spacing w:line="480" w:lineRule="auto"/>
        <w:ind w:firstLine="560"/>
        <w:rPr>
          <w:rFonts w:cs="Times New Roman"/>
        </w:rPr>
      </w:pPr>
      <w:bookmarkStart w:id="34" w:name="_Toc454810009"/>
      <w:r>
        <w:rPr>
          <w:rFonts w:cs="Times New Roman"/>
        </w:rPr>
        <w:t>（一）加快兵团公交法规标准建设</w:t>
      </w:r>
      <w:bookmarkEnd w:id="34"/>
    </w:p>
    <w:p w:rsidR="00AA0CEC" w:rsidRDefault="00DA349F">
      <w:pPr>
        <w:spacing w:line="480" w:lineRule="auto"/>
        <w:ind w:firstLineChars="200" w:firstLine="480"/>
        <w:rPr>
          <w:rFonts w:cs="Times New Roman"/>
        </w:rPr>
      </w:pPr>
      <w:r>
        <w:rPr>
          <w:rFonts w:cs="Times New Roman"/>
        </w:rPr>
        <w:t>逐步形成以行政法规为龙头、以部颁规章为基础、以地方立法为支撑的法规体系，为兵团公交规划、建设、运营、管理、安全和政策扶持等提供法制保障。加强对兵团公交立法工作的指导，鼓励各地在立法权限内积极制定出台符合当地实际的公交法规和规章。加快推进运营服务、设施设备、兵团轨道交通运营安全、信息化等兵团客运行业发展急需标准的制修订工作。加强兵团客运标准化宣</w:t>
      </w:r>
      <w:r>
        <w:rPr>
          <w:rFonts w:cs="Times New Roman" w:hint="eastAsia"/>
        </w:rPr>
        <w:t>传</w:t>
      </w:r>
      <w:r>
        <w:rPr>
          <w:rFonts w:cs="Times New Roman"/>
        </w:rPr>
        <w:t>和培训力度，完善标准监督实施机制。</w:t>
      </w:r>
    </w:p>
    <w:p w:rsidR="00AA0CEC" w:rsidRDefault="00DA349F" w:rsidP="000256A0">
      <w:pPr>
        <w:pStyle w:val="3"/>
        <w:spacing w:line="480" w:lineRule="auto"/>
        <w:ind w:firstLine="560"/>
        <w:rPr>
          <w:rFonts w:cs="Times New Roman"/>
        </w:rPr>
      </w:pPr>
      <w:bookmarkStart w:id="35" w:name="_Toc454810010"/>
      <w:r>
        <w:rPr>
          <w:rFonts w:cs="Times New Roman"/>
        </w:rPr>
        <w:t>（二）制定和落实兵团公交财税扶持政策</w:t>
      </w:r>
      <w:bookmarkEnd w:id="35"/>
    </w:p>
    <w:p w:rsidR="00AA0CEC" w:rsidRDefault="00DA349F">
      <w:pPr>
        <w:spacing w:line="480" w:lineRule="auto"/>
        <w:ind w:firstLineChars="200" w:firstLine="480"/>
        <w:rPr>
          <w:rFonts w:cs="Times New Roman"/>
        </w:rPr>
      </w:pPr>
      <w:r>
        <w:rPr>
          <w:rFonts w:cs="Times New Roman"/>
        </w:rPr>
        <w:t>通过示范工程等方式，完善相关政策，加大对综合客运枢纽、信息化建设等项目的支持力度。各地交通运输部门要在本级政府的统一领导下，争取有关部门支持，研究制定兵团公交投资政策和财政保障制度，争取将兵团公交投入作为改善民生工程支出，纳入公共财政支出范围，并探索建立兵团公交固定资产投资与地区经济总量的协同增长机制。对公交都市建设城市，交通运输主管部门应当将兵团公交重要基础设施建设项目纳入交通固定资产投资计划。</w:t>
      </w:r>
    </w:p>
    <w:p w:rsidR="00AA0CEC" w:rsidRDefault="00DA349F" w:rsidP="000256A0">
      <w:pPr>
        <w:pStyle w:val="3"/>
        <w:spacing w:line="480" w:lineRule="auto"/>
        <w:ind w:firstLine="560"/>
        <w:rPr>
          <w:rFonts w:cs="Times New Roman"/>
        </w:rPr>
      </w:pPr>
      <w:bookmarkStart w:id="36" w:name="_Toc454810011"/>
      <w:r>
        <w:rPr>
          <w:rFonts w:cs="Times New Roman"/>
        </w:rPr>
        <w:lastRenderedPageBreak/>
        <w:t>（三）优化兵团公交从业人员政策环境</w:t>
      </w:r>
      <w:bookmarkEnd w:id="36"/>
    </w:p>
    <w:p w:rsidR="00AA0CEC" w:rsidRDefault="00DA349F">
      <w:pPr>
        <w:spacing w:line="480" w:lineRule="auto"/>
        <w:ind w:firstLineChars="200" w:firstLine="480"/>
        <w:rPr>
          <w:rFonts w:cs="Times New Roman"/>
        </w:rPr>
      </w:pPr>
      <w:r>
        <w:rPr>
          <w:rFonts w:cs="Times New Roman"/>
        </w:rPr>
        <w:t>建立平等公开和竞争择优的制度环境，加强城市公交人才建设与培养，提升管理人员素质。加强公共交通从业人员职业教育，拓宽培养途径，在职业院校、技工学校等建立兵团公交驾驶员订单式培养机制。引导兵团公交企业加快完善职工工资体系，并建立与兵团社会平均工资水平相适应的收入正常增长机制。</w:t>
      </w:r>
    </w:p>
    <w:p w:rsidR="00376301" w:rsidRDefault="00376301" w:rsidP="000256A0">
      <w:pPr>
        <w:pStyle w:val="3"/>
        <w:spacing w:line="480" w:lineRule="auto"/>
        <w:ind w:firstLine="560"/>
        <w:rPr>
          <w:rFonts w:cs="Times New Roman"/>
        </w:rPr>
      </w:pPr>
      <w:bookmarkStart w:id="37" w:name="_Toc454810012"/>
      <w:r>
        <w:rPr>
          <w:rFonts w:cs="Times New Roman"/>
        </w:rPr>
        <w:t>（</w:t>
      </w:r>
      <w:r>
        <w:rPr>
          <w:rFonts w:cs="Times New Roman" w:hint="eastAsia"/>
        </w:rPr>
        <w:t>四</w:t>
      </w:r>
      <w:r>
        <w:rPr>
          <w:rFonts w:cs="Times New Roman"/>
        </w:rPr>
        <w:t>）</w:t>
      </w:r>
      <w:r>
        <w:rPr>
          <w:rFonts w:cs="Times New Roman" w:hint="eastAsia"/>
        </w:rPr>
        <w:t>协调各主管部门之间的合作关系</w:t>
      </w:r>
      <w:bookmarkEnd w:id="37"/>
    </w:p>
    <w:p w:rsidR="00376301" w:rsidRPr="00376301" w:rsidRDefault="00376301" w:rsidP="00376301">
      <w:pPr>
        <w:ind w:firstLineChars="200" w:firstLine="480"/>
      </w:pPr>
      <w:r>
        <w:rPr>
          <w:rFonts w:hint="eastAsia"/>
        </w:rPr>
        <w:t>城市公共交通规划、建设、管理是一个牵涉诸多主管部门或单位的复杂的系统工程，协调好主管部门之间的关系，明确分工及职责。</w:t>
      </w:r>
    </w:p>
    <w:p w:rsidR="00AA0CEC" w:rsidRDefault="00AA0CEC">
      <w:pPr>
        <w:widowControl/>
        <w:spacing w:line="480" w:lineRule="auto"/>
        <w:jc w:val="left"/>
        <w:rPr>
          <w:rFonts w:cs="Times New Roman"/>
        </w:rPr>
      </w:pPr>
    </w:p>
    <w:p w:rsidR="00AA0CEC" w:rsidRDefault="00DA349F">
      <w:pPr>
        <w:pStyle w:val="1"/>
        <w:spacing w:line="480" w:lineRule="auto"/>
        <w:rPr>
          <w:rFonts w:cs="Times New Roman"/>
        </w:rPr>
      </w:pPr>
      <w:bookmarkStart w:id="38" w:name="_Toc454810013"/>
      <w:r>
        <w:rPr>
          <w:rFonts w:cs="Times New Roman"/>
        </w:rPr>
        <w:t>附件</w:t>
      </w:r>
      <w:r>
        <w:rPr>
          <w:rFonts w:cs="Times New Roman" w:hint="eastAsia"/>
        </w:rPr>
        <w:t>1</w:t>
      </w:r>
      <w:bookmarkEnd w:id="38"/>
    </w:p>
    <w:p w:rsidR="00AA0CEC" w:rsidRDefault="00DA349F">
      <w:pPr>
        <w:spacing w:line="480" w:lineRule="auto"/>
        <w:jc w:val="center"/>
        <w:rPr>
          <w:rFonts w:eastAsia="黑体" w:cs="Times New Roman"/>
          <w:b/>
          <w:sz w:val="32"/>
          <w:szCs w:val="32"/>
        </w:rPr>
      </w:pPr>
      <w:r>
        <w:rPr>
          <w:rFonts w:eastAsia="黑体" w:cs="Times New Roman"/>
          <w:b/>
          <w:sz w:val="32"/>
          <w:szCs w:val="32"/>
        </w:rPr>
        <w:t>城市公交</w:t>
      </w:r>
      <w:r>
        <w:rPr>
          <w:rFonts w:eastAsia="黑体" w:cs="Times New Roman"/>
          <w:b/>
          <w:sz w:val="32"/>
          <w:szCs w:val="32"/>
        </w:rPr>
        <w:t>“</w:t>
      </w:r>
      <w:r>
        <w:rPr>
          <w:rFonts w:eastAsia="黑体" w:cs="Times New Roman"/>
          <w:b/>
          <w:sz w:val="32"/>
          <w:szCs w:val="32"/>
        </w:rPr>
        <w:t>十三五</w:t>
      </w:r>
      <w:r>
        <w:rPr>
          <w:rFonts w:eastAsia="黑体" w:cs="Times New Roman"/>
          <w:b/>
          <w:sz w:val="32"/>
          <w:szCs w:val="32"/>
        </w:rPr>
        <w:t>”</w:t>
      </w:r>
      <w:r>
        <w:rPr>
          <w:rFonts w:eastAsia="黑体" w:cs="Times New Roman"/>
          <w:b/>
          <w:sz w:val="32"/>
          <w:szCs w:val="32"/>
        </w:rPr>
        <w:t>发展指标说明</w:t>
      </w:r>
    </w:p>
    <w:p w:rsidR="00AA0CEC" w:rsidRDefault="00DA349F" w:rsidP="000256A0">
      <w:pPr>
        <w:spacing w:line="480" w:lineRule="auto"/>
        <w:ind w:firstLineChars="200" w:firstLine="480"/>
        <w:rPr>
          <w:rFonts w:eastAsia="楷体" w:hAnsi="楷体" w:cs="Times New Roman"/>
          <w:b/>
          <w:szCs w:val="24"/>
        </w:rPr>
      </w:pPr>
      <w:r>
        <w:rPr>
          <w:rFonts w:eastAsia="楷体" w:hAnsi="楷体" w:cs="Times New Roman" w:hint="eastAsia"/>
          <w:b/>
          <w:szCs w:val="24"/>
        </w:rPr>
        <w:t>1.</w:t>
      </w:r>
      <w:r>
        <w:rPr>
          <w:rFonts w:eastAsia="楷体" w:hAnsi="楷体" w:cs="Times New Roman" w:hint="eastAsia"/>
          <w:b/>
          <w:szCs w:val="24"/>
        </w:rPr>
        <w:t>万人拥有标台数。</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1</w:t>
      </w:r>
      <w:r>
        <w:rPr>
          <w:rFonts w:cs="Times New Roman" w:hint="eastAsia"/>
        </w:rPr>
        <w:t>）指标定义：每万人平均拥有的公共交通车辆标台数，强调万人拥有公共交通车辆标台数，并强调万人拥有公共交通车辆标台数是反应城市公共交通发展水平和交通结构状况的指标。</w:t>
      </w:r>
      <w:r>
        <w:rPr>
          <w:rFonts w:cs="Times New Roman" w:hint="eastAsia"/>
        </w:rPr>
        <w:t xml:space="preserve"> (</w:t>
      </w:r>
      <w:r>
        <w:rPr>
          <w:rFonts w:cs="Times New Roman" w:hint="eastAsia"/>
        </w:rPr>
        <w:t>单位</w:t>
      </w:r>
      <w:r>
        <w:rPr>
          <w:rFonts w:cs="Times New Roman" w:hint="eastAsia"/>
        </w:rPr>
        <w:t>:</w:t>
      </w:r>
      <w:r>
        <w:rPr>
          <w:rFonts w:cs="Times New Roman" w:hint="eastAsia"/>
        </w:rPr>
        <w:t>标台</w:t>
      </w:r>
      <w:r>
        <w:rPr>
          <w:rFonts w:cs="Times New Roman" w:hint="eastAsia"/>
        </w:rPr>
        <w:t>/</w:t>
      </w:r>
      <w:r>
        <w:rPr>
          <w:rFonts w:cs="Times New Roman" w:hint="eastAsia"/>
        </w:rPr>
        <w:t>万人</w:t>
      </w:r>
      <w:r>
        <w:rPr>
          <w:rFonts w:cs="Times New Roman" w:hint="eastAsia"/>
        </w:rPr>
        <w:t>)</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2</w:t>
      </w:r>
      <w:r>
        <w:rPr>
          <w:rFonts w:cs="Times New Roman" w:hint="eastAsia"/>
        </w:rPr>
        <w:t>）计算方法：</w:t>
      </w:r>
    </w:p>
    <w:p w:rsidR="00AA0CEC" w:rsidRDefault="00AA0CEC">
      <w:pPr>
        <w:spacing w:line="480" w:lineRule="auto"/>
        <w:ind w:firstLineChars="150" w:firstLine="360"/>
        <w:rPr>
          <w:rFonts w:cs="Times New Roman"/>
        </w:rPr>
      </w:pPr>
      <w:r w:rsidRPr="00AA0CEC">
        <w:rPr>
          <w:rFonts w:cs="Times New Roman"/>
          <w:position w:val="-26"/>
        </w:rPr>
        <w:object w:dxaOrig="6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pt;height:33.8pt" o:ole="">
            <v:imagedata r:id="rId19" o:title=""/>
          </v:shape>
          <o:OLEObject Type="Embed" ProgID="Equation.DSMT4" ShapeID="_x0000_i1025" DrawAspect="Content" ObjectID="_1540310078" r:id="rId20"/>
        </w:object>
      </w:r>
    </w:p>
    <w:p w:rsidR="00AA0CEC" w:rsidRDefault="00DA349F">
      <w:pPr>
        <w:spacing w:line="480" w:lineRule="auto"/>
        <w:ind w:firstLineChars="150" w:firstLine="360"/>
        <w:rPr>
          <w:rFonts w:cs="Times New Roman"/>
        </w:rPr>
      </w:pPr>
      <w:r>
        <w:rPr>
          <w:rFonts w:cs="Times New Roman" w:hint="eastAsia"/>
        </w:rPr>
        <w:t>其中公交车辆标台数指不同类型的运营车辆按统一的标准当量折合成的运营车辆数。</w:t>
      </w:r>
    </w:p>
    <w:p w:rsidR="00AA0CEC" w:rsidRDefault="00DA349F" w:rsidP="000256A0">
      <w:pPr>
        <w:spacing w:line="480" w:lineRule="auto"/>
        <w:ind w:firstLineChars="200" w:firstLine="480"/>
        <w:rPr>
          <w:rFonts w:eastAsia="楷体" w:hAnsi="楷体" w:cs="Times New Roman"/>
          <w:b/>
          <w:szCs w:val="24"/>
        </w:rPr>
      </w:pPr>
      <w:r>
        <w:rPr>
          <w:rFonts w:eastAsia="楷体" w:hAnsi="楷体" w:cs="Times New Roman" w:hint="eastAsia"/>
          <w:b/>
          <w:szCs w:val="24"/>
        </w:rPr>
        <w:lastRenderedPageBreak/>
        <w:t>2.</w:t>
      </w:r>
      <w:r>
        <w:rPr>
          <w:rFonts w:eastAsia="楷体" w:hAnsi="楷体" w:cs="Times New Roman" w:hint="eastAsia"/>
          <w:b/>
          <w:szCs w:val="24"/>
        </w:rPr>
        <w:t>公交线网密度。</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1</w:t>
      </w:r>
      <w:r>
        <w:rPr>
          <w:rFonts w:cs="Times New Roman" w:hint="eastAsia"/>
        </w:rPr>
        <w:t>）指标定义：表示公交线网的相对规模及平均分布状况，反映乘客与公交线网的接近程度。（单位</w:t>
      </w:r>
      <w:r>
        <w:rPr>
          <w:rFonts w:cs="Times New Roman" w:hint="eastAsia"/>
        </w:rPr>
        <w:t>:</w:t>
      </w:r>
      <w:r>
        <w:rPr>
          <w:rFonts w:eastAsia="宋体" w:cs="Times New Roman"/>
          <w:szCs w:val="21"/>
        </w:rPr>
        <w:t xml:space="preserve"> km/km</w:t>
      </w:r>
      <w:r>
        <w:rPr>
          <w:rFonts w:eastAsia="宋体" w:cs="Times New Roman"/>
          <w:szCs w:val="21"/>
          <w:vertAlign w:val="superscript"/>
        </w:rPr>
        <w:t>2</w:t>
      </w:r>
      <w:r>
        <w:rPr>
          <w:rFonts w:cs="Times New Roman" w:hint="eastAsia"/>
        </w:rPr>
        <w:t>）</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2</w:t>
      </w:r>
      <w:r>
        <w:rPr>
          <w:rFonts w:cs="Times New Roman" w:hint="eastAsia"/>
        </w:rPr>
        <w:t>）计算方法：</w:t>
      </w:r>
    </w:p>
    <w:p w:rsidR="00AA0CEC" w:rsidRDefault="00AA0CEC">
      <w:pPr>
        <w:spacing w:line="480" w:lineRule="auto"/>
        <w:ind w:firstLineChars="150" w:firstLine="360"/>
        <w:rPr>
          <w:rFonts w:cs="Times New Roman"/>
        </w:rPr>
      </w:pPr>
      <w:r w:rsidRPr="00AA0CEC">
        <w:rPr>
          <w:rFonts w:cs="Times New Roman"/>
          <w:position w:val="-26"/>
        </w:rPr>
        <w:object w:dxaOrig="5320" w:dyaOrig="660">
          <v:shape id="_x0000_i1026" type="#_x0000_t75" style="width:265.45pt;height:33.8pt" o:ole="">
            <v:imagedata r:id="rId21" o:title=""/>
          </v:shape>
          <o:OLEObject Type="Embed" ProgID="Equation.DSMT4" ShapeID="_x0000_i1026" DrawAspect="Content" ObjectID="_1540310079" r:id="rId22"/>
        </w:object>
      </w:r>
    </w:p>
    <w:p w:rsidR="00AA0CEC" w:rsidRDefault="00DA349F" w:rsidP="000256A0">
      <w:pPr>
        <w:spacing w:line="480" w:lineRule="auto"/>
        <w:ind w:firstLineChars="199" w:firstLine="478"/>
        <w:rPr>
          <w:rFonts w:cs="Times New Roman"/>
        </w:rPr>
      </w:pPr>
      <w:r>
        <w:rPr>
          <w:rFonts w:eastAsia="楷体" w:hAnsi="楷体" w:cs="Times New Roman" w:hint="eastAsia"/>
          <w:b/>
          <w:szCs w:val="24"/>
        </w:rPr>
        <w:t>3.</w:t>
      </w:r>
      <w:r>
        <w:rPr>
          <w:rFonts w:eastAsia="楷体" w:hAnsi="楷体" w:cs="Times New Roman" w:hint="eastAsia"/>
          <w:b/>
          <w:szCs w:val="24"/>
        </w:rPr>
        <w:t>公交线网密度。</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1</w:t>
      </w:r>
      <w:r>
        <w:rPr>
          <w:rFonts w:cs="Times New Roman" w:hint="eastAsia"/>
        </w:rPr>
        <w:t>）指标定义：</w:t>
      </w:r>
      <w:r>
        <w:rPr>
          <w:rFonts w:cs="Times New Roman"/>
        </w:rPr>
        <w:t>指公共交通线路总长度与区域内线路网长度之比。线路重复系数同时也是线路密度与线网密度的比值，其中线路密度是指公交运营线路总长与有公交服务的城市用地面积之比，线网密度是指区域内布设线路的道路里程与有公交服务的城市用地面积之比。</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2</w:t>
      </w:r>
      <w:r>
        <w:rPr>
          <w:rFonts w:cs="Times New Roman" w:hint="eastAsia"/>
        </w:rPr>
        <w:t>）计算方法：</w:t>
      </w:r>
    </w:p>
    <w:p w:rsidR="00AA0CEC" w:rsidRDefault="00AA0CEC">
      <w:pPr>
        <w:spacing w:line="480" w:lineRule="auto"/>
        <w:ind w:firstLineChars="150" w:firstLine="360"/>
        <w:rPr>
          <w:rFonts w:eastAsia="楷体" w:hAnsi="楷体" w:cs="Times New Roman"/>
          <w:b/>
          <w:szCs w:val="24"/>
        </w:rPr>
      </w:pPr>
      <w:r w:rsidRPr="00AA0CEC">
        <w:rPr>
          <w:rFonts w:cs="Times New Roman"/>
          <w:position w:val="-26"/>
        </w:rPr>
        <w:object w:dxaOrig="4340" w:dyaOrig="660">
          <v:shape id="_x0000_i1027" type="#_x0000_t75" style="width:217.25pt;height:33.8pt" o:ole="">
            <v:imagedata r:id="rId23" o:title=""/>
          </v:shape>
          <o:OLEObject Type="Embed" ProgID="Equation.DSMT4" ShapeID="_x0000_i1027" DrawAspect="Content" ObjectID="_1540310080" r:id="rId24"/>
        </w:object>
      </w:r>
    </w:p>
    <w:p w:rsidR="00AA0CEC" w:rsidRDefault="00DA349F" w:rsidP="000256A0">
      <w:pPr>
        <w:spacing w:line="480" w:lineRule="auto"/>
        <w:ind w:firstLineChars="200" w:firstLine="480"/>
        <w:rPr>
          <w:rFonts w:eastAsia="楷体" w:cs="Times New Roman"/>
          <w:b/>
          <w:szCs w:val="24"/>
        </w:rPr>
      </w:pPr>
      <w:r>
        <w:rPr>
          <w:rFonts w:eastAsia="楷体" w:cs="Times New Roman" w:hint="eastAsia"/>
          <w:b/>
          <w:szCs w:val="24"/>
        </w:rPr>
        <w:t>4</w:t>
      </w:r>
      <w:r>
        <w:rPr>
          <w:rFonts w:eastAsia="楷体" w:cs="Times New Roman"/>
          <w:b/>
          <w:szCs w:val="24"/>
        </w:rPr>
        <w:t>.</w:t>
      </w:r>
      <w:r>
        <w:rPr>
          <w:rFonts w:eastAsia="楷体" w:hAnsi="楷体" w:cs="Times New Roman"/>
          <w:b/>
          <w:szCs w:val="24"/>
        </w:rPr>
        <w:t>城市公共交通出行分担率</w:t>
      </w:r>
      <w:r>
        <w:rPr>
          <w:rFonts w:eastAsia="楷体" w:cs="Times New Roman"/>
          <w:b/>
          <w:szCs w:val="24"/>
        </w:rPr>
        <w:t>(</w:t>
      </w:r>
      <w:r>
        <w:rPr>
          <w:rFonts w:eastAsia="楷体" w:hAnsi="楷体" w:cs="Times New Roman"/>
          <w:b/>
          <w:szCs w:val="24"/>
        </w:rPr>
        <w:t>城市公共交通机动化出行分担率</w:t>
      </w:r>
      <w:r>
        <w:rPr>
          <w:rFonts w:eastAsia="楷体" w:cs="Times New Roman"/>
          <w:b/>
          <w:szCs w:val="24"/>
        </w:rPr>
        <w:t>)</w:t>
      </w:r>
      <w:r>
        <w:rPr>
          <w:rFonts w:eastAsia="楷体" w:hAnsi="楷体" w:cs="Times New Roman"/>
          <w:b/>
          <w:szCs w:val="24"/>
        </w:rPr>
        <w:t>。</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1</w:t>
      </w:r>
      <w:r>
        <w:rPr>
          <w:rFonts w:cs="Times New Roman" w:hint="eastAsia"/>
        </w:rPr>
        <w:t>）</w:t>
      </w:r>
      <w:r>
        <w:rPr>
          <w:rFonts w:cs="Times New Roman"/>
        </w:rPr>
        <w:t>指标定义</w:t>
      </w:r>
      <w:r>
        <w:rPr>
          <w:rFonts w:cs="Times New Roman"/>
        </w:rPr>
        <w:t>:</w:t>
      </w:r>
      <w:r>
        <w:rPr>
          <w:rFonts w:cs="Times New Roman"/>
        </w:rPr>
        <w:t>城市公共交通出行分担率为统计期内，中心城区居民选择城市公共交通的出行量与全方式出行总量之比。城市公共交通机动化出行分担率为统计期内，中心城区居民选择城市公共交通的机动化出行量与机动化出行总量之比。</w:t>
      </w:r>
      <w:r>
        <w:rPr>
          <w:rFonts w:cs="Times New Roman" w:hint="eastAsia"/>
        </w:rPr>
        <w:t>（</w:t>
      </w:r>
      <w:r>
        <w:rPr>
          <w:rFonts w:cs="Times New Roman"/>
        </w:rPr>
        <w:t>单位</w:t>
      </w:r>
      <w:r>
        <w:rPr>
          <w:rFonts w:cs="Times New Roman"/>
        </w:rPr>
        <w:t>:%</w:t>
      </w:r>
      <w:r>
        <w:rPr>
          <w:rFonts w:cs="Times New Roman" w:hint="eastAsia"/>
        </w:rPr>
        <w:t>）</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2</w:t>
      </w:r>
      <w:r>
        <w:rPr>
          <w:rFonts w:cs="Times New Roman" w:hint="eastAsia"/>
        </w:rPr>
        <w:t>）计算方法：</w:t>
      </w:r>
    </w:p>
    <w:p w:rsidR="00AA0CEC" w:rsidRDefault="00DA349F">
      <w:pPr>
        <w:spacing w:line="480" w:lineRule="auto"/>
        <w:ind w:firstLineChars="150" w:firstLine="360"/>
        <w:rPr>
          <w:rFonts w:cs="Times New Roman"/>
        </w:rPr>
      </w:pPr>
      <w:r>
        <w:rPr>
          <w:rFonts w:cs="Times New Roman" w:hint="eastAsia"/>
        </w:rPr>
        <w:t>城市公共交通出行分担率</w:t>
      </w:r>
      <w:r w:rsidR="00AA0CEC" w:rsidRPr="00AA0CEC">
        <w:rPr>
          <w:rFonts w:cs="Times New Roman"/>
          <w:position w:val="-26"/>
        </w:rPr>
        <w:object w:dxaOrig="3160" w:dyaOrig="660">
          <v:shape id="_x0000_i1028" type="#_x0000_t75" style="width:157.75pt;height:33.8pt" o:ole="">
            <v:imagedata r:id="rId25" o:title=""/>
          </v:shape>
          <o:OLEObject Type="Embed" ProgID="Equation.DSMT4" ShapeID="_x0000_i1028" DrawAspect="Content" ObjectID="_1540310081" r:id="rId26"/>
        </w:object>
      </w:r>
    </w:p>
    <w:p w:rsidR="00AA0CEC" w:rsidRDefault="00DA349F">
      <w:pPr>
        <w:spacing w:line="480" w:lineRule="auto"/>
        <w:ind w:firstLineChars="150" w:firstLine="360"/>
        <w:rPr>
          <w:rFonts w:cs="Times New Roman"/>
        </w:rPr>
      </w:pPr>
      <w:r>
        <w:rPr>
          <w:rFonts w:cs="Times New Roman" w:hint="eastAsia"/>
        </w:rPr>
        <w:t>城市公共交通机动车出行分担率</w:t>
      </w:r>
      <w:r w:rsidR="00AA0CEC" w:rsidRPr="00AA0CEC">
        <w:rPr>
          <w:rFonts w:cs="Times New Roman"/>
          <w:position w:val="-26"/>
        </w:rPr>
        <w:object w:dxaOrig="3160" w:dyaOrig="660">
          <v:shape id="_x0000_i1029" type="#_x0000_t75" style="width:157.75pt;height:33.8pt" o:ole="">
            <v:imagedata r:id="rId27" o:title=""/>
          </v:shape>
          <o:OLEObject Type="Embed" ProgID="Equation.DSMT4" ShapeID="_x0000_i1029" DrawAspect="Content" ObjectID="_1540310082" r:id="rId28"/>
        </w:object>
      </w:r>
    </w:p>
    <w:p w:rsidR="00AA0CEC" w:rsidRDefault="00DA349F">
      <w:pPr>
        <w:spacing w:line="480" w:lineRule="auto"/>
        <w:ind w:firstLineChars="200" w:firstLine="480"/>
        <w:rPr>
          <w:rFonts w:cs="Times New Roman"/>
        </w:rPr>
      </w:pPr>
      <w:r>
        <w:rPr>
          <w:rFonts w:cs="Times New Roman" w:hint="eastAsia"/>
        </w:rPr>
        <w:lastRenderedPageBreak/>
        <w:t>其中：城市公共交通出行量包括采用公共汽电车、轨道交通、城市轮渡等</w:t>
      </w:r>
      <w:r>
        <w:rPr>
          <w:rFonts w:cs="Times New Roman" w:hint="eastAsia"/>
        </w:rPr>
        <w:t>(</w:t>
      </w:r>
      <w:r>
        <w:rPr>
          <w:rFonts w:cs="Times New Roman" w:hint="eastAsia"/>
        </w:rPr>
        <w:t>不含出租汽车</w:t>
      </w:r>
      <w:r>
        <w:rPr>
          <w:rFonts w:cs="Times New Roman" w:hint="eastAsia"/>
        </w:rPr>
        <w:t>)</w:t>
      </w:r>
      <w:r>
        <w:rPr>
          <w:rFonts w:cs="Times New Roman" w:hint="eastAsia"/>
        </w:rPr>
        <w:t>交通方式的出行量；全方式出行总量为城市内各类交通方式出行量之和；机动化出行总量是指使用公共汽电车、轨道交通、城市轮渡、小汽车、出租汽车、摩托车、通勤班车、公务车、校车等各种以动力装置驱动或者牵引的交通工具的出行量。</w:t>
      </w:r>
    </w:p>
    <w:p w:rsidR="00AA0CEC" w:rsidRDefault="00DA349F" w:rsidP="000256A0">
      <w:pPr>
        <w:spacing w:line="480" w:lineRule="auto"/>
        <w:ind w:firstLineChars="150" w:firstLine="360"/>
        <w:rPr>
          <w:rFonts w:cs="Times New Roman"/>
        </w:rPr>
      </w:pPr>
      <w:r>
        <w:rPr>
          <w:rFonts w:eastAsia="楷体" w:hAnsi="楷体" w:cs="Times New Roman" w:hint="eastAsia"/>
          <w:b/>
          <w:szCs w:val="24"/>
        </w:rPr>
        <w:t xml:space="preserve">  5.</w:t>
      </w:r>
      <w:r>
        <w:rPr>
          <w:rFonts w:eastAsia="楷体" w:hAnsi="楷体" w:cs="Times New Roman" w:hint="eastAsia"/>
          <w:b/>
          <w:szCs w:val="24"/>
        </w:rPr>
        <w:t>城市公共交通站点</w:t>
      </w:r>
      <w:r>
        <w:rPr>
          <w:rFonts w:eastAsia="楷体" w:hAnsi="楷体" w:cs="Times New Roman" w:hint="eastAsia"/>
          <w:b/>
          <w:szCs w:val="24"/>
        </w:rPr>
        <w:t>300</w:t>
      </w:r>
      <w:r>
        <w:rPr>
          <w:rFonts w:eastAsia="楷体" w:hAnsi="楷体" w:cs="Times New Roman" w:hint="eastAsia"/>
          <w:b/>
          <w:szCs w:val="24"/>
        </w:rPr>
        <w:t>米覆盖率</w:t>
      </w:r>
      <w:r>
        <w:rPr>
          <w:rFonts w:cs="Times New Roman" w:hint="eastAsia"/>
        </w:rPr>
        <w:t>。</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1</w:t>
      </w:r>
      <w:r>
        <w:rPr>
          <w:rFonts w:cs="Times New Roman" w:hint="eastAsia"/>
        </w:rPr>
        <w:t>）指标定义</w:t>
      </w:r>
      <w:r>
        <w:rPr>
          <w:rFonts w:cs="Times New Roman" w:hint="eastAsia"/>
        </w:rPr>
        <w:t>:</w:t>
      </w:r>
      <w:r>
        <w:rPr>
          <w:rFonts w:cs="Times New Roman" w:hint="eastAsia"/>
        </w:rPr>
        <w:t>统计期内，中心城区的建成区内城市公共交通站点</w:t>
      </w:r>
      <w:r>
        <w:rPr>
          <w:rFonts w:cs="Times New Roman" w:hint="eastAsia"/>
        </w:rPr>
        <w:t>300</w:t>
      </w:r>
      <w:r>
        <w:rPr>
          <w:rFonts w:cs="Times New Roman" w:hint="eastAsia"/>
        </w:rPr>
        <w:t>米半径覆盖面积与中心城区的建成区面积之比。</w:t>
      </w:r>
      <w:r>
        <w:rPr>
          <w:rFonts w:cs="Times New Roman" w:hint="eastAsia"/>
        </w:rPr>
        <w:t>(</w:t>
      </w:r>
      <w:r>
        <w:rPr>
          <w:rFonts w:cs="Times New Roman" w:hint="eastAsia"/>
        </w:rPr>
        <w:t>单位</w:t>
      </w:r>
      <w:r>
        <w:rPr>
          <w:rFonts w:cs="Times New Roman" w:hint="eastAsia"/>
        </w:rPr>
        <w:t>:%)</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2</w:t>
      </w:r>
      <w:r>
        <w:rPr>
          <w:rFonts w:cs="Times New Roman" w:hint="eastAsia"/>
        </w:rPr>
        <w:t>）计算方法：</w:t>
      </w:r>
    </w:p>
    <w:bookmarkStart w:id="39" w:name="_GoBack"/>
    <w:p w:rsidR="00AA0CEC" w:rsidRDefault="00AA0CEC">
      <w:pPr>
        <w:spacing w:line="480" w:lineRule="auto"/>
        <w:ind w:firstLineChars="150" w:firstLine="360"/>
        <w:jc w:val="left"/>
        <w:rPr>
          <w:rFonts w:cs="Times New Roman"/>
        </w:rPr>
      </w:pPr>
      <w:r w:rsidRPr="00AA0CEC">
        <w:rPr>
          <w:rFonts w:cs="Times New Roman"/>
          <w:position w:val="-26"/>
        </w:rPr>
        <w:object w:dxaOrig="8160" w:dyaOrig="660">
          <v:shape id="_x0000_i1030" type="#_x0000_t75" style="width:408.85pt;height:33.8pt" o:ole="">
            <v:imagedata r:id="rId29" o:title=""/>
          </v:shape>
          <o:OLEObject Type="Embed" ProgID="Equation.DSMT4" ShapeID="_x0000_i1030" DrawAspect="Content" ObjectID="_1540310083" r:id="rId30"/>
        </w:object>
      </w:r>
      <w:bookmarkEnd w:id="39"/>
      <w:r w:rsidR="00DA349F">
        <w:rPr>
          <w:rFonts w:cs="Times New Roman" w:hint="eastAsia"/>
        </w:rPr>
        <w:t xml:space="preserve">    </w:t>
      </w:r>
      <w:r w:rsidR="00DA349F">
        <w:rPr>
          <w:rFonts w:cs="Times New Roman" w:hint="eastAsia"/>
        </w:rPr>
        <w:t>其中，城市公共交通站点包括公共汽电车站点和轨道交通站点，轨道交通站点位置按照进出站口位置计算。</w:t>
      </w:r>
    </w:p>
    <w:p w:rsidR="00AA0CEC" w:rsidRDefault="00DA349F" w:rsidP="000256A0">
      <w:pPr>
        <w:spacing w:line="480" w:lineRule="auto"/>
        <w:ind w:firstLineChars="199" w:firstLine="478"/>
        <w:rPr>
          <w:rFonts w:cs="Times New Roman"/>
        </w:rPr>
      </w:pPr>
      <w:r>
        <w:rPr>
          <w:rFonts w:eastAsia="楷体" w:hAnsi="楷体" w:cs="Times New Roman" w:hint="eastAsia"/>
          <w:b/>
          <w:szCs w:val="24"/>
        </w:rPr>
        <w:t>6.</w:t>
      </w:r>
      <w:r>
        <w:rPr>
          <w:rFonts w:eastAsia="楷体" w:hAnsi="楷体" w:cs="Times New Roman" w:hint="eastAsia"/>
          <w:b/>
          <w:szCs w:val="24"/>
        </w:rPr>
        <w:t>城市公共交通站点</w:t>
      </w:r>
      <w:r>
        <w:rPr>
          <w:rFonts w:eastAsia="楷体" w:hAnsi="楷体" w:cs="Times New Roman" w:hint="eastAsia"/>
          <w:b/>
          <w:szCs w:val="24"/>
        </w:rPr>
        <w:t>500</w:t>
      </w:r>
      <w:r>
        <w:rPr>
          <w:rFonts w:eastAsia="楷体" w:hAnsi="楷体" w:cs="Times New Roman" w:hint="eastAsia"/>
          <w:b/>
          <w:szCs w:val="24"/>
        </w:rPr>
        <w:t>米覆盖率</w:t>
      </w:r>
      <w:r>
        <w:rPr>
          <w:rFonts w:cs="Times New Roman" w:hint="eastAsia"/>
        </w:rPr>
        <w:t>。</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1</w:t>
      </w:r>
      <w:r>
        <w:rPr>
          <w:rFonts w:cs="Times New Roman" w:hint="eastAsia"/>
        </w:rPr>
        <w:t>）指标定义：统计期内，中心城区的建成区内城市公共交通站点</w:t>
      </w:r>
      <w:r>
        <w:rPr>
          <w:rFonts w:cs="Times New Roman" w:hint="eastAsia"/>
        </w:rPr>
        <w:t>500</w:t>
      </w:r>
      <w:r>
        <w:rPr>
          <w:rFonts w:cs="Times New Roman" w:hint="eastAsia"/>
        </w:rPr>
        <w:t>米半径覆盖面积与中心城区的建成区面积之比。</w:t>
      </w:r>
      <w:r>
        <w:rPr>
          <w:rFonts w:cs="Times New Roman" w:hint="eastAsia"/>
        </w:rPr>
        <w:t>(</w:t>
      </w:r>
      <w:r>
        <w:rPr>
          <w:rFonts w:cs="Times New Roman" w:hint="eastAsia"/>
        </w:rPr>
        <w:t>单位</w:t>
      </w:r>
      <w:r>
        <w:rPr>
          <w:rFonts w:cs="Times New Roman" w:hint="eastAsia"/>
        </w:rPr>
        <w:t>:%)</w:t>
      </w:r>
    </w:p>
    <w:p w:rsidR="00AA0CEC" w:rsidRDefault="00DA349F">
      <w:pPr>
        <w:spacing w:line="480" w:lineRule="auto"/>
        <w:ind w:firstLineChars="150" w:firstLine="360"/>
        <w:rPr>
          <w:rFonts w:cs="Times New Roman"/>
        </w:rPr>
      </w:pPr>
      <w:r>
        <w:rPr>
          <w:rFonts w:cs="Times New Roman" w:hint="eastAsia"/>
        </w:rPr>
        <w:t>（</w:t>
      </w:r>
      <w:r>
        <w:rPr>
          <w:rFonts w:cs="Times New Roman" w:hint="eastAsia"/>
        </w:rPr>
        <w:t>2</w:t>
      </w:r>
      <w:r>
        <w:rPr>
          <w:rFonts w:cs="Times New Roman" w:hint="eastAsia"/>
        </w:rPr>
        <w:t>）计算方法：</w:t>
      </w:r>
    </w:p>
    <w:p w:rsidR="00AA0CEC" w:rsidRDefault="00AA0CEC">
      <w:pPr>
        <w:spacing w:line="480" w:lineRule="auto"/>
        <w:ind w:firstLineChars="200" w:firstLine="480"/>
        <w:jc w:val="left"/>
        <w:rPr>
          <w:rFonts w:cs="Times New Roman"/>
        </w:rPr>
      </w:pPr>
      <w:r w:rsidRPr="00AA0CEC">
        <w:rPr>
          <w:rFonts w:cs="Times New Roman"/>
          <w:position w:val="-26"/>
        </w:rPr>
        <w:object w:dxaOrig="8180" w:dyaOrig="660">
          <v:shape id="_x0000_i1031" type="#_x0000_t75" style="width:408.2pt;height:33.8pt" o:ole="">
            <v:imagedata r:id="rId31" o:title=""/>
          </v:shape>
          <o:OLEObject Type="Embed" ProgID="Equation.DSMT4" ShapeID="_x0000_i1031" DrawAspect="Content" ObjectID="_1540310084" r:id="rId32"/>
        </w:object>
      </w:r>
      <w:r w:rsidR="00DA349F">
        <w:rPr>
          <w:rFonts w:cs="Times New Roman" w:hint="eastAsia"/>
        </w:rPr>
        <w:t xml:space="preserve">    </w:t>
      </w:r>
      <w:r w:rsidR="00DA349F">
        <w:rPr>
          <w:rFonts w:cs="Times New Roman" w:hint="eastAsia"/>
        </w:rPr>
        <w:t>其中，城市公共交通站点包括公共汽电车站点和轨道交通站点，轨道交通站点位置按照进出站口位置计算。</w:t>
      </w:r>
    </w:p>
    <w:p w:rsidR="00AA0CEC" w:rsidRDefault="00AA0CEC">
      <w:pPr>
        <w:spacing w:line="480" w:lineRule="auto"/>
        <w:ind w:firstLineChars="200" w:firstLine="480"/>
        <w:jc w:val="left"/>
        <w:rPr>
          <w:rFonts w:cs="Times New Roman"/>
        </w:rPr>
      </w:pPr>
    </w:p>
    <w:p w:rsidR="00AA0CEC" w:rsidRDefault="00DA349F">
      <w:pPr>
        <w:widowControl/>
        <w:spacing w:line="240" w:lineRule="auto"/>
        <w:jc w:val="left"/>
        <w:rPr>
          <w:rFonts w:cs="Times New Roman"/>
        </w:rPr>
      </w:pPr>
      <w:r>
        <w:rPr>
          <w:rFonts w:cs="Times New Roman"/>
        </w:rPr>
        <w:br w:type="page"/>
      </w:r>
    </w:p>
    <w:p w:rsidR="00AA0CEC" w:rsidRDefault="00DA349F">
      <w:pPr>
        <w:pStyle w:val="1"/>
      </w:pPr>
      <w:bookmarkStart w:id="40" w:name="_Toc454810014"/>
      <w:r>
        <w:rPr>
          <w:rFonts w:hint="eastAsia"/>
        </w:rPr>
        <w:lastRenderedPageBreak/>
        <w:t>附件</w:t>
      </w:r>
      <w:r>
        <w:rPr>
          <w:rFonts w:hint="eastAsia"/>
        </w:rPr>
        <w:t>2</w:t>
      </w:r>
      <w:bookmarkEnd w:id="40"/>
    </w:p>
    <w:p w:rsidR="00AA0CEC" w:rsidRDefault="00DA349F">
      <w:pPr>
        <w:widowControl/>
        <w:spacing w:line="240" w:lineRule="auto"/>
        <w:jc w:val="center"/>
        <w:rPr>
          <w:rFonts w:ascii="黑体" w:eastAsia="黑体" w:hAnsi="黑体" w:cs="Times New Roman"/>
          <w:b/>
          <w:sz w:val="21"/>
          <w:szCs w:val="21"/>
        </w:rPr>
      </w:pPr>
      <w:r>
        <w:rPr>
          <w:rFonts w:ascii="黑体" w:eastAsia="黑体" w:hAnsi="黑体" w:cs="Times New Roman" w:hint="eastAsia"/>
          <w:b/>
          <w:sz w:val="21"/>
          <w:szCs w:val="21"/>
        </w:rPr>
        <w:t>附表</w:t>
      </w:r>
      <w:r>
        <w:rPr>
          <w:rFonts w:ascii="黑体" w:eastAsia="黑体" w:hAnsi="黑体" w:cs="Times New Roman"/>
          <w:b/>
          <w:sz w:val="21"/>
          <w:szCs w:val="21"/>
        </w:rPr>
        <w:t xml:space="preserve">1  </w:t>
      </w:r>
      <w:r>
        <w:rPr>
          <w:rFonts w:ascii="黑体" w:eastAsia="黑体" w:hAnsi="黑体" w:cs="Times New Roman" w:hint="eastAsia"/>
          <w:b/>
          <w:sz w:val="21"/>
          <w:szCs w:val="21"/>
        </w:rPr>
        <w:t>兵团公交现状表</w:t>
      </w:r>
    </w:p>
    <w:tbl>
      <w:tblPr>
        <w:tblW w:w="8522" w:type="dxa"/>
        <w:tblLayout w:type="fixed"/>
        <w:tblLook w:val="04A0"/>
      </w:tblPr>
      <w:tblGrid>
        <w:gridCol w:w="458"/>
        <w:gridCol w:w="1113"/>
        <w:gridCol w:w="641"/>
        <w:gridCol w:w="641"/>
        <w:gridCol w:w="641"/>
        <w:gridCol w:w="641"/>
        <w:gridCol w:w="643"/>
        <w:gridCol w:w="936"/>
        <w:gridCol w:w="936"/>
        <w:gridCol w:w="936"/>
        <w:gridCol w:w="936"/>
      </w:tblGrid>
      <w:tr w:rsidR="00AA0CEC">
        <w:trPr>
          <w:trHeight w:val="680"/>
        </w:trPr>
        <w:tc>
          <w:tcPr>
            <w:tcW w:w="458"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序号</w:t>
            </w:r>
          </w:p>
        </w:tc>
        <w:tc>
          <w:tcPr>
            <w:tcW w:w="111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单位</w:t>
            </w:r>
          </w:p>
        </w:tc>
        <w:tc>
          <w:tcPr>
            <w:tcW w:w="3207" w:type="dxa"/>
            <w:gridSpan w:val="5"/>
            <w:tcBorders>
              <w:top w:val="single" w:sz="8" w:space="0" w:color="auto"/>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客运站</w:t>
            </w:r>
          </w:p>
        </w:tc>
        <w:tc>
          <w:tcPr>
            <w:tcW w:w="93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运营</w:t>
            </w:r>
            <w:r>
              <w:rPr>
                <w:rFonts w:ascii="黑体" w:eastAsia="黑体" w:hAnsi="黑体" w:cs="宋体"/>
                <w:b/>
                <w:kern w:val="0"/>
                <w:sz w:val="21"/>
                <w:szCs w:val="21"/>
              </w:rPr>
              <w:t xml:space="preserve">           </w:t>
            </w:r>
            <w:r>
              <w:rPr>
                <w:rFonts w:ascii="黑体" w:eastAsia="黑体" w:hAnsi="黑体" w:cs="宋体" w:hint="eastAsia"/>
                <w:b/>
                <w:kern w:val="0"/>
                <w:sz w:val="21"/>
                <w:szCs w:val="21"/>
              </w:rPr>
              <w:t>车辆数（辆）</w:t>
            </w:r>
          </w:p>
        </w:tc>
        <w:tc>
          <w:tcPr>
            <w:tcW w:w="93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运营</w:t>
            </w:r>
            <w:r>
              <w:rPr>
                <w:rFonts w:ascii="黑体" w:eastAsia="黑体" w:hAnsi="黑体" w:cs="宋体"/>
                <w:b/>
                <w:kern w:val="0"/>
                <w:sz w:val="21"/>
                <w:szCs w:val="21"/>
              </w:rPr>
              <w:t xml:space="preserve">           </w:t>
            </w:r>
            <w:r>
              <w:rPr>
                <w:rFonts w:ascii="黑体" w:eastAsia="黑体" w:hAnsi="黑体" w:cs="宋体" w:hint="eastAsia"/>
                <w:b/>
                <w:kern w:val="0"/>
                <w:sz w:val="21"/>
                <w:szCs w:val="21"/>
              </w:rPr>
              <w:t>线路</w:t>
            </w:r>
            <w:r>
              <w:rPr>
                <w:rFonts w:ascii="黑体" w:eastAsia="黑体" w:hAnsi="黑体" w:cs="宋体"/>
                <w:b/>
                <w:kern w:val="0"/>
                <w:sz w:val="21"/>
                <w:szCs w:val="21"/>
              </w:rPr>
              <w:t xml:space="preserve">           </w:t>
            </w:r>
            <w:r>
              <w:rPr>
                <w:rFonts w:ascii="黑体" w:eastAsia="黑体" w:hAnsi="黑体" w:cs="宋体" w:hint="eastAsia"/>
                <w:b/>
                <w:kern w:val="0"/>
                <w:sz w:val="21"/>
                <w:szCs w:val="21"/>
              </w:rPr>
              <w:t>条数（条）</w:t>
            </w:r>
          </w:p>
        </w:tc>
        <w:tc>
          <w:tcPr>
            <w:tcW w:w="93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运营</w:t>
            </w:r>
            <w:r>
              <w:rPr>
                <w:rFonts w:ascii="黑体" w:eastAsia="黑体" w:hAnsi="黑体" w:cs="宋体"/>
                <w:b/>
                <w:kern w:val="0"/>
                <w:sz w:val="21"/>
                <w:szCs w:val="21"/>
              </w:rPr>
              <w:t xml:space="preserve">         </w:t>
            </w:r>
            <w:r>
              <w:rPr>
                <w:rFonts w:ascii="黑体" w:eastAsia="黑体" w:hAnsi="黑体" w:cs="宋体" w:hint="eastAsia"/>
                <w:b/>
                <w:kern w:val="0"/>
                <w:sz w:val="21"/>
                <w:szCs w:val="21"/>
              </w:rPr>
              <w:t>线路</w:t>
            </w:r>
            <w:r>
              <w:rPr>
                <w:rFonts w:ascii="黑体" w:eastAsia="黑体" w:hAnsi="黑体" w:cs="宋体"/>
                <w:b/>
                <w:kern w:val="0"/>
                <w:sz w:val="21"/>
                <w:szCs w:val="21"/>
              </w:rPr>
              <w:t xml:space="preserve">           </w:t>
            </w:r>
            <w:r>
              <w:rPr>
                <w:rFonts w:ascii="黑体" w:eastAsia="黑体" w:hAnsi="黑体" w:cs="宋体" w:hint="eastAsia"/>
                <w:b/>
                <w:kern w:val="0"/>
                <w:sz w:val="21"/>
                <w:szCs w:val="21"/>
              </w:rPr>
              <w:t>长度（</w:t>
            </w:r>
            <w:r>
              <w:rPr>
                <w:rFonts w:ascii="黑体" w:eastAsia="黑体" w:hAnsi="黑体" w:cs="宋体"/>
                <w:b/>
                <w:kern w:val="0"/>
                <w:sz w:val="21"/>
                <w:szCs w:val="21"/>
              </w:rPr>
              <w:t>km）</w:t>
            </w:r>
          </w:p>
        </w:tc>
        <w:tc>
          <w:tcPr>
            <w:tcW w:w="936"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运营</w:t>
            </w:r>
            <w:r>
              <w:rPr>
                <w:rFonts w:ascii="黑体" w:eastAsia="黑体" w:hAnsi="黑体" w:cs="宋体"/>
                <w:b/>
                <w:kern w:val="0"/>
                <w:sz w:val="21"/>
                <w:szCs w:val="21"/>
              </w:rPr>
              <w:t xml:space="preserve">          </w:t>
            </w:r>
            <w:r>
              <w:rPr>
                <w:rFonts w:ascii="黑体" w:eastAsia="黑体" w:hAnsi="黑体" w:cs="宋体" w:hint="eastAsia"/>
                <w:b/>
                <w:kern w:val="0"/>
                <w:sz w:val="21"/>
                <w:szCs w:val="21"/>
              </w:rPr>
              <w:t>里程</w:t>
            </w:r>
            <w:r>
              <w:rPr>
                <w:rFonts w:ascii="黑体" w:eastAsia="黑体" w:hAnsi="黑体" w:cs="宋体"/>
                <w:b/>
                <w:kern w:val="0"/>
                <w:sz w:val="21"/>
                <w:szCs w:val="21"/>
              </w:rPr>
              <w:t xml:space="preserve">             </w:t>
            </w:r>
            <w:r>
              <w:rPr>
                <w:rFonts w:ascii="黑体" w:eastAsia="黑体" w:hAnsi="黑体" w:cs="宋体" w:hint="eastAsia"/>
                <w:b/>
                <w:kern w:val="0"/>
                <w:sz w:val="21"/>
                <w:szCs w:val="21"/>
              </w:rPr>
              <w:t>（</w:t>
            </w:r>
            <w:r>
              <w:rPr>
                <w:rFonts w:ascii="黑体" w:eastAsia="黑体" w:hAnsi="黑体" w:cs="宋体"/>
                <w:b/>
                <w:kern w:val="0"/>
                <w:sz w:val="21"/>
                <w:szCs w:val="21"/>
              </w:rPr>
              <w:t>km）</w:t>
            </w:r>
          </w:p>
        </w:tc>
      </w:tr>
      <w:tr w:rsidR="00AA0CEC">
        <w:trPr>
          <w:trHeight w:val="680"/>
        </w:trPr>
        <w:tc>
          <w:tcPr>
            <w:tcW w:w="458" w:type="dxa"/>
            <w:vMerge/>
            <w:tcBorders>
              <w:top w:val="single" w:sz="8" w:space="0" w:color="auto"/>
              <w:left w:val="single" w:sz="8" w:space="0" w:color="auto"/>
              <w:bottom w:val="single" w:sz="4" w:space="0" w:color="auto"/>
              <w:right w:val="single" w:sz="4" w:space="0" w:color="auto"/>
            </w:tcBorders>
            <w:vAlign w:val="center"/>
          </w:tcPr>
          <w:p w:rsidR="00AA0CEC" w:rsidRDefault="00AA0CEC">
            <w:pPr>
              <w:keepNext/>
              <w:keepLines/>
              <w:widowControl/>
              <w:adjustRightInd w:val="0"/>
              <w:snapToGrid w:val="0"/>
              <w:spacing w:line="240" w:lineRule="auto"/>
              <w:jc w:val="left"/>
              <w:outlineLvl w:val="0"/>
              <w:rPr>
                <w:rFonts w:ascii="黑体" w:eastAsia="黑体" w:hAnsi="黑体" w:cs="宋体"/>
                <w:kern w:val="0"/>
                <w:sz w:val="21"/>
                <w:szCs w:val="21"/>
              </w:rPr>
            </w:pPr>
          </w:p>
        </w:tc>
        <w:tc>
          <w:tcPr>
            <w:tcW w:w="1113" w:type="dxa"/>
            <w:vMerge/>
            <w:tcBorders>
              <w:top w:val="single" w:sz="8" w:space="0" w:color="auto"/>
              <w:left w:val="single" w:sz="4" w:space="0" w:color="auto"/>
              <w:bottom w:val="single" w:sz="4" w:space="0" w:color="auto"/>
              <w:right w:val="single" w:sz="4" w:space="0" w:color="auto"/>
            </w:tcBorders>
            <w:vAlign w:val="center"/>
          </w:tcPr>
          <w:p w:rsidR="00AA0CEC" w:rsidRDefault="00AA0CEC">
            <w:pPr>
              <w:keepNext/>
              <w:keepLines/>
              <w:widowControl/>
              <w:adjustRightInd w:val="0"/>
              <w:snapToGrid w:val="0"/>
              <w:spacing w:line="240" w:lineRule="auto"/>
              <w:jc w:val="left"/>
              <w:outlineLvl w:val="0"/>
              <w:rPr>
                <w:rFonts w:ascii="黑体" w:eastAsia="黑体" w:hAnsi="黑体" w:cs="宋体"/>
                <w:kern w:val="0"/>
                <w:sz w:val="21"/>
                <w:szCs w:val="21"/>
              </w:rPr>
            </w:pP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二级</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三级</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四级</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五级</w:t>
            </w:r>
          </w:p>
        </w:tc>
        <w:tc>
          <w:tcPr>
            <w:tcW w:w="64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黑体" w:eastAsia="黑体" w:hAnsi="黑体" w:cs="宋体"/>
                <w:b/>
                <w:kern w:val="0"/>
                <w:sz w:val="21"/>
                <w:szCs w:val="21"/>
              </w:rPr>
            </w:pPr>
            <w:r>
              <w:rPr>
                <w:rFonts w:ascii="黑体" w:eastAsia="黑体" w:hAnsi="黑体" w:cs="宋体" w:hint="eastAsia"/>
                <w:b/>
                <w:kern w:val="0"/>
                <w:sz w:val="21"/>
                <w:szCs w:val="21"/>
              </w:rPr>
              <w:t>简易</w:t>
            </w:r>
          </w:p>
        </w:tc>
        <w:tc>
          <w:tcPr>
            <w:tcW w:w="936" w:type="dxa"/>
            <w:vMerge/>
            <w:tcBorders>
              <w:top w:val="single" w:sz="8" w:space="0" w:color="auto"/>
              <w:left w:val="single" w:sz="4" w:space="0" w:color="auto"/>
              <w:bottom w:val="single" w:sz="4" w:space="0" w:color="auto"/>
              <w:right w:val="single" w:sz="4" w:space="0" w:color="auto"/>
            </w:tcBorders>
            <w:vAlign w:val="center"/>
          </w:tcPr>
          <w:p w:rsidR="00AA0CEC" w:rsidRDefault="00AA0CEC">
            <w:pPr>
              <w:keepNext/>
              <w:keepLines/>
              <w:widowControl/>
              <w:adjustRightInd w:val="0"/>
              <w:snapToGrid w:val="0"/>
              <w:spacing w:line="240" w:lineRule="auto"/>
              <w:jc w:val="left"/>
              <w:outlineLvl w:val="0"/>
              <w:rPr>
                <w:rFonts w:ascii="仿宋" w:eastAsia="仿宋" w:hAnsi="仿宋" w:cs="宋体"/>
                <w:kern w:val="0"/>
                <w:sz w:val="21"/>
                <w:szCs w:val="21"/>
              </w:rPr>
            </w:pPr>
          </w:p>
        </w:tc>
        <w:tc>
          <w:tcPr>
            <w:tcW w:w="936" w:type="dxa"/>
            <w:vMerge/>
            <w:tcBorders>
              <w:top w:val="single" w:sz="8" w:space="0" w:color="auto"/>
              <w:left w:val="single" w:sz="4" w:space="0" w:color="auto"/>
              <w:bottom w:val="single" w:sz="4" w:space="0" w:color="auto"/>
              <w:right w:val="single" w:sz="4" w:space="0" w:color="auto"/>
            </w:tcBorders>
            <w:vAlign w:val="center"/>
          </w:tcPr>
          <w:p w:rsidR="00AA0CEC" w:rsidRDefault="00AA0CEC">
            <w:pPr>
              <w:keepNext/>
              <w:keepLines/>
              <w:widowControl/>
              <w:adjustRightInd w:val="0"/>
              <w:snapToGrid w:val="0"/>
              <w:spacing w:line="240" w:lineRule="auto"/>
              <w:jc w:val="left"/>
              <w:outlineLvl w:val="0"/>
              <w:rPr>
                <w:rFonts w:ascii="仿宋" w:eastAsia="仿宋" w:hAnsi="仿宋" w:cs="宋体"/>
                <w:kern w:val="0"/>
                <w:sz w:val="21"/>
                <w:szCs w:val="21"/>
              </w:rPr>
            </w:pPr>
          </w:p>
        </w:tc>
        <w:tc>
          <w:tcPr>
            <w:tcW w:w="936" w:type="dxa"/>
            <w:vMerge/>
            <w:tcBorders>
              <w:top w:val="single" w:sz="8" w:space="0" w:color="auto"/>
              <w:left w:val="single" w:sz="4" w:space="0" w:color="auto"/>
              <w:bottom w:val="single" w:sz="4" w:space="0" w:color="auto"/>
              <w:right w:val="single" w:sz="4" w:space="0" w:color="auto"/>
            </w:tcBorders>
            <w:vAlign w:val="center"/>
          </w:tcPr>
          <w:p w:rsidR="00AA0CEC" w:rsidRDefault="00AA0CEC">
            <w:pPr>
              <w:keepNext/>
              <w:keepLines/>
              <w:widowControl/>
              <w:adjustRightInd w:val="0"/>
              <w:snapToGrid w:val="0"/>
              <w:spacing w:line="240" w:lineRule="auto"/>
              <w:jc w:val="left"/>
              <w:outlineLvl w:val="0"/>
              <w:rPr>
                <w:rFonts w:ascii="仿宋" w:eastAsia="仿宋" w:hAnsi="仿宋" w:cs="宋体"/>
                <w:kern w:val="0"/>
                <w:sz w:val="21"/>
                <w:szCs w:val="21"/>
              </w:rPr>
            </w:pPr>
          </w:p>
        </w:tc>
        <w:tc>
          <w:tcPr>
            <w:tcW w:w="936" w:type="dxa"/>
            <w:vMerge/>
            <w:tcBorders>
              <w:top w:val="single" w:sz="8" w:space="0" w:color="auto"/>
              <w:left w:val="single" w:sz="4" w:space="0" w:color="auto"/>
              <w:bottom w:val="single" w:sz="4" w:space="0" w:color="auto"/>
              <w:right w:val="single" w:sz="8" w:space="0" w:color="auto"/>
            </w:tcBorders>
            <w:vAlign w:val="center"/>
          </w:tcPr>
          <w:p w:rsidR="00AA0CEC" w:rsidRDefault="00AA0CEC">
            <w:pPr>
              <w:keepNext/>
              <w:keepLines/>
              <w:widowControl/>
              <w:adjustRightInd w:val="0"/>
              <w:snapToGrid w:val="0"/>
              <w:spacing w:line="240" w:lineRule="auto"/>
              <w:jc w:val="left"/>
              <w:outlineLvl w:val="0"/>
              <w:rPr>
                <w:rFonts w:ascii="仿宋" w:eastAsia="仿宋" w:hAnsi="仿宋" w:cs="宋体"/>
                <w:kern w:val="0"/>
                <w:sz w:val="21"/>
                <w:szCs w:val="21"/>
              </w:rPr>
            </w:pP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1</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第一师</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5</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4</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15</w:t>
            </w:r>
          </w:p>
        </w:tc>
        <w:tc>
          <w:tcPr>
            <w:tcW w:w="64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11</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63</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20</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560</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428</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2</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第二师</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21</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3</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3</w:t>
            </w:r>
          </w:p>
        </w:tc>
        <w:tc>
          <w:tcPr>
            <w:tcW w:w="64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110</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20</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593</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768</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3</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第三师</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2</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10</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19</w:t>
            </w:r>
          </w:p>
        </w:tc>
        <w:tc>
          <w:tcPr>
            <w:tcW w:w="643"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6</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25</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17</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424</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135</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4</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第四师</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5</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2</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4</w:t>
            </w:r>
          </w:p>
        </w:tc>
        <w:tc>
          <w:tcPr>
            <w:tcW w:w="643"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4</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294</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18</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522</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1600</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5</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第五师</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5</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11</w:t>
            </w:r>
          </w:p>
        </w:tc>
        <w:tc>
          <w:tcPr>
            <w:tcW w:w="64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4</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46</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15</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180</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2/82</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6</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第六师</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3</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3</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5</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29</w:t>
            </w:r>
          </w:p>
        </w:tc>
        <w:tc>
          <w:tcPr>
            <w:tcW w:w="643"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101</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15</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256</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382</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7</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第七师</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3</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6</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32</w:t>
            </w:r>
          </w:p>
        </w:tc>
        <w:tc>
          <w:tcPr>
            <w:tcW w:w="643"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9</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31</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255</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160</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263</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8</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第八师</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2</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10</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2</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42</w:t>
            </w:r>
          </w:p>
        </w:tc>
        <w:tc>
          <w:tcPr>
            <w:tcW w:w="643"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5</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550</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70</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960</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2675</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9</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第九师</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tabs>
                <w:tab w:val="center" w:pos="4153"/>
                <w:tab w:val="right" w:pos="8306"/>
              </w:tabs>
              <w:adjustRightInd w:val="0"/>
              <w:snapToGrid w:val="0"/>
              <w:spacing w:line="240" w:lineRule="auto"/>
              <w:jc w:val="center"/>
              <w:rPr>
                <w:rFonts w:eastAsia="仿宋" w:cs="Times New Roman"/>
                <w:kern w:val="0"/>
                <w:sz w:val="21"/>
                <w:szCs w:val="21"/>
              </w:rPr>
            </w:pPr>
            <w:r>
              <w:rPr>
                <w:rFonts w:eastAsia="仿宋" w:cs="Times New Roman"/>
                <w:kern w:val="0"/>
                <w:sz w:val="21"/>
                <w:szCs w:val="21"/>
              </w:rPr>
              <w:t>8</w:t>
            </w:r>
          </w:p>
        </w:tc>
        <w:tc>
          <w:tcPr>
            <w:tcW w:w="641"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12</w:t>
            </w:r>
          </w:p>
        </w:tc>
        <w:tc>
          <w:tcPr>
            <w:tcW w:w="64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4</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22</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5</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100</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92</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10</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第十师</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8</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13</w:t>
            </w:r>
          </w:p>
        </w:tc>
        <w:tc>
          <w:tcPr>
            <w:tcW w:w="64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6</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104</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56</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2246</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876</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11</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第十一师</w:t>
            </w:r>
          </w:p>
        </w:tc>
        <w:tc>
          <w:tcPr>
            <w:tcW w:w="641"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641"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641"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3"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936"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936"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936"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936" w:type="dxa"/>
            <w:tcBorders>
              <w:top w:val="nil"/>
              <w:left w:val="nil"/>
              <w:bottom w:val="single" w:sz="4" w:space="0" w:color="auto"/>
              <w:right w:val="single" w:sz="8"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12</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第十二师</w:t>
            </w:r>
          </w:p>
        </w:tc>
        <w:tc>
          <w:tcPr>
            <w:tcW w:w="641"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5</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3</w:t>
            </w:r>
          </w:p>
        </w:tc>
        <w:tc>
          <w:tcPr>
            <w:tcW w:w="643"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30</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11</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120</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297</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13</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第十三师</w:t>
            </w:r>
          </w:p>
        </w:tc>
        <w:tc>
          <w:tcPr>
            <w:tcW w:w="641"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w:t>
            </w:r>
          </w:p>
        </w:tc>
        <w:tc>
          <w:tcPr>
            <w:tcW w:w="643"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13</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13</w:t>
            </w:r>
          </w:p>
        </w:tc>
        <w:tc>
          <w:tcPr>
            <w:tcW w:w="936"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200</w:t>
            </w:r>
          </w:p>
        </w:tc>
        <w:tc>
          <w:tcPr>
            <w:tcW w:w="936" w:type="dxa"/>
            <w:tcBorders>
              <w:top w:val="nil"/>
              <w:left w:val="nil"/>
              <w:bottom w:val="single" w:sz="4" w:space="0" w:color="auto"/>
              <w:right w:val="single" w:sz="8"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51</w:t>
            </w:r>
          </w:p>
        </w:tc>
      </w:tr>
      <w:tr w:rsidR="00AA0CEC">
        <w:trPr>
          <w:trHeight w:val="680"/>
        </w:trPr>
        <w:tc>
          <w:tcPr>
            <w:tcW w:w="458" w:type="dxa"/>
            <w:tcBorders>
              <w:top w:val="nil"/>
              <w:left w:val="single" w:sz="8" w:space="0" w:color="auto"/>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b/>
                <w:kern w:val="0"/>
                <w:sz w:val="21"/>
                <w:szCs w:val="21"/>
              </w:rPr>
            </w:pPr>
            <w:r>
              <w:rPr>
                <w:rFonts w:eastAsia="仿宋" w:cs="Times New Roman"/>
                <w:b/>
                <w:kern w:val="0"/>
                <w:sz w:val="21"/>
                <w:szCs w:val="21"/>
              </w:rPr>
              <w:t>14</w:t>
            </w:r>
          </w:p>
        </w:tc>
        <w:tc>
          <w:tcPr>
            <w:tcW w:w="1113"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第十四师</w:t>
            </w:r>
          </w:p>
        </w:tc>
        <w:tc>
          <w:tcPr>
            <w:tcW w:w="641"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1" w:type="dxa"/>
            <w:tcBorders>
              <w:top w:val="nil"/>
              <w:left w:val="nil"/>
              <w:bottom w:val="single" w:sz="4"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w:t>
            </w:r>
          </w:p>
        </w:tc>
        <w:tc>
          <w:tcPr>
            <w:tcW w:w="643"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936"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936"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936" w:type="dxa"/>
            <w:tcBorders>
              <w:top w:val="nil"/>
              <w:left w:val="nil"/>
              <w:bottom w:val="single" w:sz="4"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c>
          <w:tcPr>
            <w:tcW w:w="936" w:type="dxa"/>
            <w:tcBorders>
              <w:top w:val="nil"/>
              <w:left w:val="nil"/>
              <w:bottom w:val="single" w:sz="4" w:space="0" w:color="auto"/>
              <w:right w:val="single" w:sz="8"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eastAsia="仿宋" w:cs="Times New Roman"/>
                <w:kern w:val="0"/>
                <w:sz w:val="21"/>
                <w:szCs w:val="21"/>
              </w:rPr>
            </w:pPr>
          </w:p>
        </w:tc>
      </w:tr>
      <w:tr w:rsidR="00AA0CEC">
        <w:trPr>
          <w:trHeight w:val="680"/>
        </w:trPr>
        <w:tc>
          <w:tcPr>
            <w:tcW w:w="458" w:type="dxa"/>
            <w:tcBorders>
              <w:top w:val="nil"/>
              <w:left w:val="single" w:sz="8" w:space="0" w:color="auto"/>
              <w:bottom w:val="single" w:sz="8" w:space="0" w:color="auto"/>
              <w:right w:val="single" w:sz="4" w:space="0" w:color="auto"/>
            </w:tcBorders>
            <w:shd w:val="clear" w:color="auto" w:fill="auto"/>
            <w:vAlign w:val="center"/>
          </w:tcPr>
          <w:p w:rsidR="00AA0CEC" w:rsidRDefault="00AA0CEC">
            <w:pPr>
              <w:keepNext/>
              <w:keepLines/>
              <w:widowControl/>
              <w:adjustRightInd w:val="0"/>
              <w:snapToGrid w:val="0"/>
              <w:spacing w:line="240" w:lineRule="auto"/>
              <w:jc w:val="center"/>
              <w:outlineLvl w:val="0"/>
              <w:rPr>
                <w:rFonts w:ascii="仿宋" w:eastAsia="仿宋" w:hAnsi="仿宋" w:cs="宋体"/>
                <w:kern w:val="0"/>
                <w:sz w:val="21"/>
                <w:szCs w:val="21"/>
              </w:rPr>
            </w:pPr>
          </w:p>
        </w:tc>
        <w:tc>
          <w:tcPr>
            <w:tcW w:w="1113" w:type="dxa"/>
            <w:tcBorders>
              <w:top w:val="nil"/>
              <w:left w:val="nil"/>
              <w:bottom w:val="single" w:sz="8"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asciiTheme="minorEastAsia" w:hAnsiTheme="minorEastAsia" w:cs="宋体"/>
                <w:b/>
                <w:kern w:val="0"/>
                <w:sz w:val="21"/>
                <w:szCs w:val="21"/>
              </w:rPr>
            </w:pPr>
            <w:r>
              <w:rPr>
                <w:rFonts w:asciiTheme="minorEastAsia" w:hAnsiTheme="minorEastAsia" w:cs="宋体" w:hint="eastAsia"/>
                <w:b/>
                <w:kern w:val="0"/>
                <w:sz w:val="21"/>
                <w:szCs w:val="21"/>
              </w:rPr>
              <w:t>合计</w:t>
            </w:r>
          </w:p>
        </w:tc>
        <w:tc>
          <w:tcPr>
            <w:tcW w:w="641" w:type="dxa"/>
            <w:tcBorders>
              <w:top w:val="nil"/>
              <w:left w:val="nil"/>
              <w:bottom w:val="single" w:sz="8"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18</w:t>
            </w:r>
          </w:p>
        </w:tc>
        <w:tc>
          <w:tcPr>
            <w:tcW w:w="641" w:type="dxa"/>
            <w:tcBorders>
              <w:top w:val="nil"/>
              <w:left w:val="nil"/>
              <w:bottom w:val="single" w:sz="8"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90</w:t>
            </w:r>
          </w:p>
        </w:tc>
        <w:tc>
          <w:tcPr>
            <w:tcW w:w="641" w:type="dxa"/>
            <w:tcBorders>
              <w:top w:val="nil"/>
              <w:left w:val="nil"/>
              <w:bottom w:val="single" w:sz="8"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24</w:t>
            </w:r>
          </w:p>
        </w:tc>
        <w:tc>
          <w:tcPr>
            <w:tcW w:w="641" w:type="dxa"/>
            <w:tcBorders>
              <w:top w:val="nil"/>
              <w:left w:val="nil"/>
              <w:bottom w:val="single" w:sz="8"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187</w:t>
            </w:r>
          </w:p>
        </w:tc>
        <w:tc>
          <w:tcPr>
            <w:tcW w:w="643" w:type="dxa"/>
            <w:tcBorders>
              <w:top w:val="nil"/>
              <w:left w:val="nil"/>
              <w:bottom w:val="single" w:sz="8"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50</w:t>
            </w:r>
          </w:p>
        </w:tc>
        <w:tc>
          <w:tcPr>
            <w:tcW w:w="936" w:type="dxa"/>
            <w:tcBorders>
              <w:top w:val="nil"/>
              <w:left w:val="nil"/>
              <w:bottom w:val="single" w:sz="8"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1389</w:t>
            </w:r>
          </w:p>
        </w:tc>
        <w:tc>
          <w:tcPr>
            <w:tcW w:w="936" w:type="dxa"/>
            <w:tcBorders>
              <w:top w:val="nil"/>
              <w:left w:val="nil"/>
              <w:bottom w:val="single" w:sz="8"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515</w:t>
            </w:r>
          </w:p>
        </w:tc>
        <w:tc>
          <w:tcPr>
            <w:tcW w:w="936" w:type="dxa"/>
            <w:tcBorders>
              <w:top w:val="nil"/>
              <w:left w:val="nil"/>
              <w:bottom w:val="single" w:sz="8" w:space="0" w:color="auto"/>
              <w:right w:val="single" w:sz="4"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6321</w:t>
            </w:r>
          </w:p>
        </w:tc>
        <w:tc>
          <w:tcPr>
            <w:tcW w:w="936" w:type="dxa"/>
            <w:tcBorders>
              <w:top w:val="nil"/>
              <w:left w:val="nil"/>
              <w:bottom w:val="single" w:sz="8" w:space="0" w:color="auto"/>
              <w:right w:val="single" w:sz="8" w:space="0" w:color="auto"/>
            </w:tcBorders>
            <w:shd w:val="clear" w:color="auto" w:fill="auto"/>
            <w:vAlign w:val="center"/>
          </w:tcPr>
          <w:p w:rsidR="00AA0CEC" w:rsidRDefault="00DA349F">
            <w:pPr>
              <w:widowControl/>
              <w:adjustRightInd w:val="0"/>
              <w:snapToGrid w:val="0"/>
              <w:spacing w:line="240" w:lineRule="auto"/>
              <w:jc w:val="center"/>
              <w:rPr>
                <w:rFonts w:eastAsia="仿宋" w:cs="Times New Roman"/>
                <w:kern w:val="0"/>
                <w:sz w:val="21"/>
                <w:szCs w:val="21"/>
              </w:rPr>
            </w:pPr>
            <w:r>
              <w:rPr>
                <w:rFonts w:eastAsia="仿宋" w:cs="Times New Roman"/>
                <w:kern w:val="0"/>
                <w:sz w:val="21"/>
                <w:szCs w:val="21"/>
              </w:rPr>
              <w:t>7567</w:t>
            </w:r>
          </w:p>
        </w:tc>
      </w:tr>
    </w:tbl>
    <w:p w:rsidR="00AA0CEC" w:rsidRDefault="00AA0CEC">
      <w:pPr>
        <w:spacing w:line="480" w:lineRule="auto"/>
        <w:jc w:val="left"/>
        <w:rPr>
          <w:rFonts w:cs="Times New Roman"/>
          <w:b/>
        </w:rPr>
      </w:pPr>
    </w:p>
    <w:p w:rsidR="00AA0CEC" w:rsidRDefault="00DA349F">
      <w:pPr>
        <w:ind w:firstLine="482"/>
        <w:jc w:val="center"/>
        <w:rPr>
          <w:rFonts w:ascii="黑体" w:eastAsia="黑体" w:hAnsi="黑体" w:cs="Times New Roman"/>
          <w:sz w:val="21"/>
          <w:szCs w:val="21"/>
        </w:rPr>
      </w:pPr>
      <w:r>
        <w:rPr>
          <w:rFonts w:ascii="黑体" w:eastAsia="黑体" w:hAnsi="黑体" w:cs="Times New Roman" w:hint="eastAsia"/>
          <w:b/>
          <w:sz w:val="21"/>
          <w:szCs w:val="21"/>
        </w:rPr>
        <w:lastRenderedPageBreak/>
        <w:t>附表2  “十三五”期兵团公交发展指标表</w:t>
      </w:r>
    </w:p>
    <w:tbl>
      <w:tblPr>
        <w:tblStyle w:val="a9"/>
        <w:tblW w:w="9014" w:type="dxa"/>
        <w:jc w:val="center"/>
        <w:tblLayout w:type="fixed"/>
        <w:tblLook w:val="04A0"/>
      </w:tblPr>
      <w:tblGrid>
        <w:gridCol w:w="2572"/>
        <w:gridCol w:w="1295"/>
        <w:gridCol w:w="996"/>
        <w:gridCol w:w="940"/>
        <w:gridCol w:w="955"/>
        <w:gridCol w:w="1024"/>
        <w:gridCol w:w="1232"/>
      </w:tblGrid>
      <w:tr w:rsidR="00AA0CEC">
        <w:trPr>
          <w:trHeight w:val="948"/>
          <w:jc w:val="center"/>
        </w:trPr>
        <w:tc>
          <w:tcPr>
            <w:tcW w:w="2572" w:type="dxa"/>
            <w:vAlign w:val="center"/>
          </w:tcPr>
          <w:p w:rsidR="00AA0CEC" w:rsidRDefault="00AA0CEC">
            <w:pPr>
              <w:jc w:val="center"/>
              <w:rPr>
                <w:rFonts w:cs="Times New Roman"/>
                <w:szCs w:val="24"/>
              </w:rPr>
            </w:pPr>
          </w:p>
        </w:tc>
        <w:tc>
          <w:tcPr>
            <w:tcW w:w="1295" w:type="dxa"/>
            <w:vAlign w:val="center"/>
          </w:tcPr>
          <w:p w:rsidR="00AA0CEC" w:rsidRDefault="00DA349F">
            <w:pPr>
              <w:jc w:val="center"/>
              <w:rPr>
                <w:rFonts w:cs="Times New Roman"/>
                <w:b/>
                <w:szCs w:val="24"/>
              </w:rPr>
            </w:pPr>
            <w:r>
              <w:rPr>
                <w:rFonts w:cs="Times New Roman"/>
                <w:b/>
                <w:szCs w:val="24"/>
              </w:rPr>
              <w:t>单位</w:t>
            </w:r>
          </w:p>
        </w:tc>
        <w:tc>
          <w:tcPr>
            <w:tcW w:w="996" w:type="dxa"/>
            <w:vAlign w:val="center"/>
          </w:tcPr>
          <w:p w:rsidR="00AA0CEC" w:rsidRDefault="00DA349F">
            <w:pPr>
              <w:jc w:val="center"/>
              <w:rPr>
                <w:rFonts w:cs="Times New Roman"/>
                <w:b/>
                <w:szCs w:val="24"/>
              </w:rPr>
            </w:pPr>
            <w:r>
              <w:rPr>
                <w:rFonts w:cs="Times New Roman"/>
                <w:b/>
                <w:szCs w:val="24"/>
              </w:rPr>
              <w:t>石河子</w:t>
            </w:r>
          </w:p>
        </w:tc>
        <w:tc>
          <w:tcPr>
            <w:tcW w:w="940" w:type="dxa"/>
            <w:vAlign w:val="center"/>
          </w:tcPr>
          <w:p w:rsidR="00AA0CEC" w:rsidRDefault="00DA349F">
            <w:pPr>
              <w:jc w:val="center"/>
              <w:rPr>
                <w:rFonts w:cs="Times New Roman"/>
                <w:b/>
                <w:szCs w:val="24"/>
              </w:rPr>
            </w:pPr>
            <w:r>
              <w:rPr>
                <w:rFonts w:cs="Times New Roman"/>
                <w:b/>
                <w:szCs w:val="24"/>
              </w:rPr>
              <w:t>阿拉尔</w:t>
            </w:r>
          </w:p>
        </w:tc>
        <w:tc>
          <w:tcPr>
            <w:tcW w:w="955" w:type="dxa"/>
            <w:vAlign w:val="center"/>
          </w:tcPr>
          <w:p w:rsidR="00AA0CEC" w:rsidRDefault="00DA349F">
            <w:pPr>
              <w:jc w:val="center"/>
              <w:rPr>
                <w:rFonts w:cs="Times New Roman"/>
                <w:b/>
                <w:szCs w:val="24"/>
              </w:rPr>
            </w:pPr>
            <w:r>
              <w:rPr>
                <w:rFonts w:cs="Times New Roman"/>
                <w:b/>
                <w:szCs w:val="24"/>
              </w:rPr>
              <w:t>五家渠</w:t>
            </w:r>
          </w:p>
        </w:tc>
        <w:tc>
          <w:tcPr>
            <w:tcW w:w="1024" w:type="dxa"/>
            <w:vAlign w:val="center"/>
          </w:tcPr>
          <w:p w:rsidR="00AA0CEC" w:rsidRDefault="00DA349F">
            <w:pPr>
              <w:jc w:val="center"/>
              <w:rPr>
                <w:rFonts w:cs="Times New Roman"/>
                <w:b/>
                <w:szCs w:val="24"/>
              </w:rPr>
            </w:pPr>
            <w:r>
              <w:rPr>
                <w:rFonts w:cs="Times New Roman"/>
                <w:b/>
                <w:szCs w:val="24"/>
              </w:rPr>
              <w:t>双河市</w:t>
            </w:r>
          </w:p>
        </w:tc>
        <w:tc>
          <w:tcPr>
            <w:tcW w:w="1232" w:type="dxa"/>
            <w:vAlign w:val="center"/>
          </w:tcPr>
          <w:p w:rsidR="00AA0CEC" w:rsidRDefault="00DA349F">
            <w:pPr>
              <w:jc w:val="center"/>
              <w:rPr>
                <w:rFonts w:cs="Times New Roman"/>
                <w:b/>
                <w:szCs w:val="24"/>
              </w:rPr>
            </w:pPr>
            <w:r>
              <w:rPr>
                <w:rFonts w:cs="Times New Roman" w:hint="eastAsia"/>
                <w:b/>
                <w:szCs w:val="24"/>
              </w:rPr>
              <w:t>图木舒克</w:t>
            </w:r>
          </w:p>
        </w:tc>
      </w:tr>
      <w:tr w:rsidR="00AA0CEC">
        <w:trPr>
          <w:trHeight w:val="479"/>
          <w:jc w:val="center"/>
        </w:trPr>
        <w:tc>
          <w:tcPr>
            <w:tcW w:w="2572" w:type="dxa"/>
            <w:vAlign w:val="center"/>
          </w:tcPr>
          <w:p w:rsidR="00AA0CEC" w:rsidRDefault="00DA349F">
            <w:pPr>
              <w:jc w:val="center"/>
              <w:rPr>
                <w:rFonts w:cs="Times New Roman"/>
                <w:b/>
                <w:szCs w:val="24"/>
              </w:rPr>
            </w:pPr>
            <w:r>
              <w:rPr>
                <w:rFonts w:cs="Times New Roman"/>
                <w:b/>
                <w:szCs w:val="24"/>
              </w:rPr>
              <w:t>公交线路数</w:t>
            </w:r>
          </w:p>
        </w:tc>
        <w:tc>
          <w:tcPr>
            <w:tcW w:w="1295" w:type="dxa"/>
            <w:vAlign w:val="center"/>
          </w:tcPr>
          <w:p w:rsidR="00AA0CEC" w:rsidRDefault="00DA349F">
            <w:pPr>
              <w:jc w:val="center"/>
              <w:rPr>
                <w:rFonts w:eastAsia="宋体" w:cs="Times New Roman"/>
                <w:szCs w:val="21"/>
              </w:rPr>
            </w:pPr>
            <w:r>
              <w:rPr>
                <w:rFonts w:eastAsia="宋体" w:cs="Times New Roman"/>
                <w:szCs w:val="21"/>
              </w:rPr>
              <w:t>条</w:t>
            </w:r>
          </w:p>
        </w:tc>
        <w:tc>
          <w:tcPr>
            <w:tcW w:w="996" w:type="dxa"/>
            <w:vAlign w:val="center"/>
          </w:tcPr>
          <w:p w:rsidR="00AA0CEC" w:rsidRDefault="00DA349F">
            <w:pPr>
              <w:jc w:val="center"/>
              <w:rPr>
                <w:rFonts w:eastAsia="宋体" w:cs="Times New Roman"/>
                <w:szCs w:val="21"/>
              </w:rPr>
            </w:pPr>
            <w:r>
              <w:rPr>
                <w:rFonts w:eastAsia="宋体" w:cs="Times New Roman"/>
                <w:szCs w:val="21"/>
              </w:rPr>
              <w:t>39</w:t>
            </w:r>
          </w:p>
        </w:tc>
        <w:tc>
          <w:tcPr>
            <w:tcW w:w="940" w:type="dxa"/>
            <w:vAlign w:val="center"/>
          </w:tcPr>
          <w:p w:rsidR="00AA0CEC" w:rsidRDefault="00DA349F">
            <w:pPr>
              <w:jc w:val="center"/>
              <w:rPr>
                <w:rFonts w:cs="Times New Roman"/>
                <w:szCs w:val="21"/>
              </w:rPr>
            </w:pPr>
            <w:r>
              <w:rPr>
                <w:rFonts w:cs="Times New Roman"/>
                <w:szCs w:val="21"/>
              </w:rPr>
              <w:t>10</w:t>
            </w:r>
          </w:p>
        </w:tc>
        <w:tc>
          <w:tcPr>
            <w:tcW w:w="955" w:type="dxa"/>
            <w:vAlign w:val="center"/>
          </w:tcPr>
          <w:p w:rsidR="00AA0CEC" w:rsidRDefault="00DA349F">
            <w:pPr>
              <w:jc w:val="center"/>
              <w:rPr>
                <w:rFonts w:cs="Times New Roman"/>
                <w:szCs w:val="21"/>
              </w:rPr>
            </w:pPr>
            <w:r>
              <w:rPr>
                <w:rFonts w:cs="Times New Roman"/>
                <w:szCs w:val="21"/>
              </w:rPr>
              <w:t>10</w:t>
            </w:r>
          </w:p>
        </w:tc>
        <w:tc>
          <w:tcPr>
            <w:tcW w:w="1024" w:type="dxa"/>
            <w:vAlign w:val="center"/>
          </w:tcPr>
          <w:p w:rsidR="00AA0CEC" w:rsidRDefault="00DA349F">
            <w:pPr>
              <w:jc w:val="center"/>
              <w:rPr>
                <w:rFonts w:cs="Times New Roman"/>
                <w:szCs w:val="24"/>
              </w:rPr>
            </w:pPr>
            <w:r>
              <w:rPr>
                <w:rFonts w:cs="Times New Roman"/>
                <w:szCs w:val="24"/>
              </w:rPr>
              <w:t>5</w:t>
            </w:r>
          </w:p>
        </w:tc>
        <w:tc>
          <w:tcPr>
            <w:tcW w:w="1232" w:type="dxa"/>
            <w:vAlign w:val="center"/>
          </w:tcPr>
          <w:p w:rsidR="00AA0CEC" w:rsidRDefault="00DA349F">
            <w:pPr>
              <w:jc w:val="center"/>
              <w:rPr>
                <w:rFonts w:cs="Times New Roman"/>
                <w:szCs w:val="24"/>
              </w:rPr>
            </w:pPr>
            <w:r>
              <w:rPr>
                <w:rFonts w:cs="Times New Roman" w:hint="eastAsia"/>
                <w:szCs w:val="24"/>
              </w:rPr>
              <w:t>7</w:t>
            </w:r>
          </w:p>
        </w:tc>
      </w:tr>
      <w:tr w:rsidR="00AA0CEC">
        <w:trPr>
          <w:trHeight w:val="479"/>
          <w:jc w:val="center"/>
        </w:trPr>
        <w:tc>
          <w:tcPr>
            <w:tcW w:w="2572" w:type="dxa"/>
            <w:vAlign w:val="center"/>
          </w:tcPr>
          <w:p w:rsidR="00AA0CEC" w:rsidRDefault="00DA349F">
            <w:pPr>
              <w:jc w:val="center"/>
              <w:rPr>
                <w:rFonts w:cs="Times New Roman"/>
                <w:b/>
                <w:szCs w:val="24"/>
              </w:rPr>
            </w:pPr>
            <w:r>
              <w:rPr>
                <w:rFonts w:cs="Times New Roman"/>
                <w:b/>
                <w:szCs w:val="24"/>
              </w:rPr>
              <w:t>运营车辆数</w:t>
            </w:r>
          </w:p>
        </w:tc>
        <w:tc>
          <w:tcPr>
            <w:tcW w:w="1295" w:type="dxa"/>
            <w:vAlign w:val="center"/>
          </w:tcPr>
          <w:p w:rsidR="00AA0CEC" w:rsidRDefault="00DA349F">
            <w:pPr>
              <w:jc w:val="center"/>
              <w:rPr>
                <w:rFonts w:eastAsia="宋体" w:cs="Times New Roman"/>
                <w:szCs w:val="21"/>
              </w:rPr>
            </w:pPr>
            <w:r>
              <w:rPr>
                <w:rFonts w:eastAsia="宋体" w:cs="Times New Roman"/>
                <w:szCs w:val="21"/>
              </w:rPr>
              <w:t>标台</w:t>
            </w:r>
          </w:p>
        </w:tc>
        <w:tc>
          <w:tcPr>
            <w:tcW w:w="996" w:type="dxa"/>
            <w:vAlign w:val="center"/>
          </w:tcPr>
          <w:p w:rsidR="00AA0CEC" w:rsidRDefault="00DA349F">
            <w:pPr>
              <w:jc w:val="center"/>
              <w:rPr>
                <w:rFonts w:eastAsia="宋体" w:cs="Times New Roman"/>
                <w:szCs w:val="21"/>
              </w:rPr>
            </w:pPr>
            <w:r>
              <w:rPr>
                <w:rFonts w:eastAsia="宋体" w:cs="Times New Roman"/>
                <w:szCs w:val="21"/>
              </w:rPr>
              <w:t>820</w:t>
            </w:r>
          </w:p>
        </w:tc>
        <w:tc>
          <w:tcPr>
            <w:tcW w:w="940" w:type="dxa"/>
            <w:vAlign w:val="center"/>
          </w:tcPr>
          <w:p w:rsidR="00AA0CEC" w:rsidRDefault="00DA349F">
            <w:pPr>
              <w:jc w:val="center"/>
              <w:rPr>
                <w:rFonts w:cs="Times New Roman"/>
                <w:szCs w:val="21"/>
              </w:rPr>
            </w:pPr>
            <w:r>
              <w:rPr>
                <w:rFonts w:cs="Times New Roman"/>
                <w:szCs w:val="21"/>
              </w:rPr>
              <w:t>51</w:t>
            </w:r>
          </w:p>
        </w:tc>
        <w:tc>
          <w:tcPr>
            <w:tcW w:w="955" w:type="dxa"/>
            <w:vAlign w:val="center"/>
          </w:tcPr>
          <w:p w:rsidR="00AA0CEC" w:rsidRDefault="00DA349F">
            <w:pPr>
              <w:jc w:val="center"/>
              <w:rPr>
                <w:rFonts w:cs="Times New Roman"/>
                <w:szCs w:val="21"/>
              </w:rPr>
            </w:pPr>
            <w:r>
              <w:rPr>
                <w:rFonts w:cs="Times New Roman"/>
                <w:szCs w:val="21"/>
              </w:rPr>
              <w:t>102</w:t>
            </w:r>
          </w:p>
        </w:tc>
        <w:tc>
          <w:tcPr>
            <w:tcW w:w="1024" w:type="dxa"/>
            <w:vAlign w:val="center"/>
          </w:tcPr>
          <w:p w:rsidR="00AA0CEC" w:rsidRDefault="00DA349F">
            <w:pPr>
              <w:jc w:val="center"/>
              <w:rPr>
                <w:rFonts w:cs="Times New Roman"/>
                <w:szCs w:val="24"/>
              </w:rPr>
            </w:pPr>
            <w:r>
              <w:rPr>
                <w:rFonts w:cs="Times New Roman"/>
                <w:szCs w:val="24"/>
              </w:rPr>
              <w:t>40</w:t>
            </w:r>
          </w:p>
        </w:tc>
        <w:tc>
          <w:tcPr>
            <w:tcW w:w="1232" w:type="dxa"/>
            <w:vAlign w:val="center"/>
          </w:tcPr>
          <w:p w:rsidR="00AA0CEC" w:rsidRDefault="00DA349F">
            <w:pPr>
              <w:jc w:val="center"/>
              <w:rPr>
                <w:rFonts w:cs="Times New Roman"/>
                <w:szCs w:val="24"/>
              </w:rPr>
            </w:pPr>
            <w:r>
              <w:rPr>
                <w:rFonts w:cs="Times New Roman" w:hint="eastAsia"/>
                <w:szCs w:val="24"/>
              </w:rPr>
              <w:t>170</w:t>
            </w:r>
          </w:p>
        </w:tc>
      </w:tr>
      <w:tr w:rsidR="00AA0CEC">
        <w:trPr>
          <w:trHeight w:val="537"/>
          <w:jc w:val="center"/>
        </w:trPr>
        <w:tc>
          <w:tcPr>
            <w:tcW w:w="2572" w:type="dxa"/>
            <w:vAlign w:val="center"/>
          </w:tcPr>
          <w:p w:rsidR="00AA0CEC" w:rsidRDefault="00DA349F">
            <w:pPr>
              <w:jc w:val="center"/>
              <w:rPr>
                <w:rFonts w:cs="Times New Roman"/>
                <w:b/>
                <w:szCs w:val="24"/>
              </w:rPr>
            </w:pPr>
            <w:r>
              <w:rPr>
                <w:rFonts w:cs="Times New Roman"/>
                <w:b/>
                <w:szCs w:val="24"/>
              </w:rPr>
              <w:t>万人拥有标台数</w:t>
            </w:r>
          </w:p>
        </w:tc>
        <w:tc>
          <w:tcPr>
            <w:tcW w:w="1295" w:type="dxa"/>
            <w:vAlign w:val="center"/>
          </w:tcPr>
          <w:p w:rsidR="00AA0CEC" w:rsidRDefault="00DA349F">
            <w:pPr>
              <w:jc w:val="center"/>
              <w:rPr>
                <w:rFonts w:eastAsia="宋体" w:cs="Times New Roman"/>
                <w:szCs w:val="21"/>
              </w:rPr>
            </w:pPr>
            <w:r>
              <w:rPr>
                <w:rFonts w:eastAsia="宋体" w:cs="Times New Roman"/>
                <w:szCs w:val="21"/>
              </w:rPr>
              <w:t>标台</w:t>
            </w:r>
            <w:r>
              <w:rPr>
                <w:rFonts w:eastAsia="宋体" w:cs="Times New Roman"/>
                <w:szCs w:val="21"/>
              </w:rPr>
              <w:t>/</w:t>
            </w:r>
            <w:r>
              <w:rPr>
                <w:rFonts w:eastAsia="宋体" w:cs="Times New Roman"/>
                <w:szCs w:val="21"/>
              </w:rPr>
              <w:t>万人</w:t>
            </w:r>
          </w:p>
        </w:tc>
        <w:tc>
          <w:tcPr>
            <w:tcW w:w="996" w:type="dxa"/>
            <w:vAlign w:val="center"/>
          </w:tcPr>
          <w:p w:rsidR="00AA0CEC" w:rsidRDefault="00DA349F">
            <w:pPr>
              <w:jc w:val="center"/>
              <w:rPr>
                <w:rFonts w:eastAsia="宋体" w:cs="Times New Roman"/>
                <w:szCs w:val="21"/>
              </w:rPr>
            </w:pPr>
            <w:r>
              <w:rPr>
                <w:rFonts w:eastAsia="宋体" w:cs="Times New Roman"/>
                <w:szCs w:val="21"/>
              </w:rPr>
              <w:t>15</w:t>
            </w:r>
          </w:p>
        </w:tc>
        <w:tc>
          <w:tcPr>
            <w:tcW w:w="940" w:type="dxa"/>
            <w:vAlign w:val="center"/>
          </w:tcPr>
          <w:p w:rsidR="00AA0CEC" w:rsidRDefault="00DA349F">
            <w:pPr>
              <w:jc w:val="center"/>
              <w:rPr>
                <w:rFonts w:cs="Times New Roman"/>
                <w:szCs w:val="21"/>
              </w:rPr>
            </w:pPr>
            <w:r>
              <w:rPr>
                <w:rFonts w:cs="Times New Roman"/>
                <w:szCs w:val="21"/>
              </w:rPr>
              <w:t>4.25</w:t>
            </w:r>
          </w:p>
        </w:tc>
        <w:tc>
          <w:tcPr>
            <w:tcW w:w="955" w:type="dxa"/>
            <w:vAlign w:val="center"/>
          </w:tcPr>
          <w:p w:rsidR="00AA0CEC" w:rsidRDefault="00DA349F">
            <w:pPr>
              <w:jc w:val="center"/>
              <w:rPr>
                <w:rFonts w:cs="Times New Roman"/>
                <w:szCs w:val="21"/>
              </w:rPr>
            </w:pPr>
            <w:r>
              <w:rPr>
                <w:rFonts w:cs="Times New Roman"/>
                <w:szCs w:val="21"/>
              </w:rPr>
              <w:t>5.0</w:t>
            </w:r>
          </w:p>
        </w:tc>
        <w:tc>
          <w:tcPr>
            <w:tcW w:w="1024" w:type="dxa"/>
            <w:vAlign w:val="center"/>
          </w:tcPr>
          <w:p w:rsidR="00AA0CEC" w:rsidRDefault="00DA349F">
            <w:pPr>
              <w:jc w:val="center"/>
              <w:rPr>
                <w:rFonts w:cs="Times New Roman"/>
                <w:b/>
                <w:bCs/>
                <w:szCs w:val="24"/>
              </w:rPr>
            </w:pPr>
            <w:r>
              <w:rPr>
                <w:rFonts w:cs="Times New Roman"/>
                <w:szCs w:val="24"/>
              </w:rPr>
              <w:t>6.7</w:t>
            </w:r>
          </w:p>
        </w:tc>
        <w:tc>
          <w:tcPr>
            <w:tcW w:w="1232" w:type="dxa"/>
            <w:vAlign w:val="center"/>
          </w:tcPr>
          <w:p w:rsidR="00AA0CEC" w:rsidRDefault="00DA349F">
            <w:pPr>
              <w:jc w:val="center"/>
              <w:rPr>
                <w:rFonts w:cs="Times New Roman"/>
                <w:szCs w:val="24"/>
              </w:rPr>
            </w:pPr>
            <w:r>
              <w:rPr>
                <w:rFonts w:cs="Times New Roman" w:hint="eastAsia"/>
                <w:szCs w:val="24"/>
              </w:rPr>
              <w:t>8</w:t>
            </w:r>
          </w:p>
        </w:tc>
      </w:tr>
      <w:tr w:rsidR="00AA0CEC">
        <w:trPr>
          <w:trHeight w:val="479"/>
          <w:jc w:val="center"/>
        </w:trPr>
        <w:tc>
          <w:tcPr>
            <w:tcW w:w="2572" w:type="dxa"/>
            <w:vAlign w:val="center"/>
          </w:tcPr>
          <w:p w:rsidR="00AA0CEC" w:rsidRDefault="00DA349F">
            <w:pPr>
              <w:jc w:val="center"/>
              <w:rPr>
                <w:rFonts w:cs="Times New Roman"/>
                <w:b/>
                <w:szCs w:val="24"/>
              </w:rPr>
            </w:pPr>
            <w:r>
              <w:rPr>
                <w:rFonts w:cs="Times New Roman"/>
                <w:b/>
                <w:szCs w:val="24"/>
              </w:rPr>
              <w:t>线网密度</w:t>
            </w:r>
          </w:p>
        </w:tc>
        <w:tc>
          <w:tcPr>
            <w:tcW w:w="1295" w:type="dxa"/>
            <w:vAlign w:val="center"/>
          </w:tcPr>
          <w:p w:rsidR="00AA0CEC" w:rsidRDefault="00DA349F">
            <w:pPr>
              <w:jc w:val="center"/>
              <w:rPr>
                <w:rFonts w:eastAsia="宋体" w:cs="Times New Roman"/>
                <w:szCs w:val="21"/>
              </w:rPr>
            </w:pPr>
            <w:r>
              <w:rPr>
                <w:rFonts w:eastAsia="宋体" w:cs="Times New Roman"/>
                <w:szCs w:val="21"/>
              </w:rPr>
              <w:t>km/km</w:t>
            </w:r>
            <w:r>
              <w:rPr>
                <w:rFonts w:eastAsia="宋体" w:cs="Times New Roman"/>
                <w:szCs w:val="21"/>
                <w:vertAlign w:val="superscript"/>
              </w:rPr>
              <w:t>2</w:t>
            </w:r>
          </w:p>
        </w:tc>
        <w:tc>
          <w:tcPr>
            <w:tcW w:w="996" w:type="dxa"/>
            <w:vAlign w:val="center"/>
          </w:tcPr>
          <w:p w:rsidR="00AA0CEC" w:rsidRDefault="00DA349F">
            <w:pPr>
              <w:jc w:val="center"/>
              <w:rPr>
                <w:rFonts w:eastAsia="宋体" w:cs="Times New Roman"/>
                <w:szCs w:val="21"/>
              </w:rPr>
            </w:pPr>
            <w:r>
              <w:rPr>
                <w:rFonts w:eastAsia="宋体" w:cs="Times New Roman"/>
                <w:szCs w:val="21"/>
              </w:rPr>
              <w:t>3.0</w:t>
            </w:r>
          </w:p>
        </w:tc>
        <w:tc>
          <w:tcPr>
            <w:tcW w:w="940" w:type="dxa"/>
            <w:vAlign w:val="center"/>
          </w:tcPr>
          <w:p w:rsidR="00AA0CEC" w:rsidRDefault="00DA349F">
            <w:pPr>
              <w:jc w:val="center"/>
              <w:rPr>
                <w:rFonts w:cs="Times New Roman"/>
                <w:szCs w:val="21"/>
              </w:rPr>
            </w:pPr>
            <w:r>
              <w:rPr>
                <w:rFonts w:cs="Times New Roman"/>
                <w:szCs w:val="21"/>
              </w:rPr>
              <w:t>2.53</w:t>
            </w:r>
          </w:p>
        </w:tc>
        <w:tc>
          <w:tcPr>
            <w:tcW w:w="955" w:type="dxa"/>
            <w:vAlign w:val="center"/>
          </w:tcPr>
          <w:p w:rsidR="00AA0CEC" w:rsidRDefault="00DA349F">
            <w:pPr>
              <w:jc w:val="center"/>
              <w:rPr>
                <w:rFonts w:cs="Times New Roman"/>
                <w:szCs w:val="21"/>
              </w:rPr>
            </w:pPr>
            <w:r>
              <w:rPr>
                <w:rFonts w:cs="Times New Roman"/>
                <w:szCs w:val="21"/>
              </w:rPr>
              <w:t>3.4</w:t>
            </w:r>
          </w:p>
        </w:tc>
        <w:tc>
          <w:tcPr>
            <w:tcW w:w="1024" w:type="dxa"/>
            <w:vAlign w:val="center"/>
          </w:tcPr>
          <w:p w:rsidR="00AA0CEC" w:rsidRDefault="00DA349F">
            <w:pPr>
              <w:jc w:val="center"/>
              <w:rPr>
                <w:rFonts w:cs="Times New Roman"/>
                <w:szCs w:val="24"/>
              </w:rPr>
            </w:pPr>
            <w:r>
              <w:rPr>
                <w:rFonts w:cs="Times New Roman"/>
                <w:szCs w:val="24"/>
              </w:rPr>
              <w:t>2.57</w:t>
            </w:r>
          </w:p>
        </w:tc>
        <w:tc>
          <w:tcPr>
            <w:tcW w:w="1232" w:type="dxa"/>
            <w:vAlign w:val="center"/>
          </w:tcPr>
          <w:p w:rsidR="00AA0CEC" w:rsidRDefault="00DA349F">
            <w:pPr>
              <w:jc w:val="center"/>
              <w:rPr>
                <w:rFonts w:cs="Times New Roman"/>
                <w:szCs w:val="24"/>
              </w:rPr>
            </w:pPr>
            <w:r>
              <w:rPr>
                <w:rFonts w:cs="Times New Roman"/>
                <w:szCs w:val="21"/>
              </w:rPr>
              <w:t>2.53</w:t>
            </w:r>
          </w:p>
        </w:tc>
      </w:tr>
      <w:tr w:rsidR="00AA0CEC">
        <w:trPr>
          <w:trHeight w:val="479"/>
          <w:jc w:val="center"/>
        </w:trPr>
        <w:tc>
          <w:tcPr>
            <w:tcW w:w="2572" w:type="dxa"/>
            <w:vAlign w:val="center"/>
          </w:tcPr>
          <w:p w:rsidR="00AA0CEC" w:rsidRDefault="00DA349F">
            <w:pPr>
              <w:jc w:val="center"/>
              <w:rPr>
                <w:rFonts w:cs="Times New Roman"/>
                <w:b/>
                <w:szCs w:val="24"/>
              </w:rPr>
            </w:pPr>
            <w:r>
              <w:rPr>
                <w:rFonts w:cs="Times New Roman"/>
                <w:b/>
                <w:szCs w:val="24"/>
              </w:rPr>
              <w:t>线路重复系数</w:t>
            </w:r>
          </w:p>
        </w:tc>
        <w:tc>
          <w:tcPr>
            <w:tcW w:w="1295" w:type="dxa"/>
            <w:vAlign w:val="center"/>
          </w:tcPr>
          <w:p w:rsidR="00AA0CEC" w:rsidRDefault="00DA349F">
            <w:pPr>
              <w:jc w:val="center"/>
              <w:rPr>
                <w:rFonts w:eastAsia="宋体" w:cs="Times New Roman"/>
                <w:szCs w:val="21"/>
              </w:rPr>
            </w:pPr>
            <w:r>
              <w:rPr>
                <w:rFonts w:eastAsia="宋体" w:cs="Times New Roman"/>
                <w:szCs w:val="21"/>
              </w:rPr>
              <w:t>－</w:t>
            </w:r>
          </w:p>
        </w:tc>
        <w:tc>
          <w:tcPr>
            <w:tcW w:w="996" w:type="dxa"/>
            <w:vAlign w:val="center"/>
          </w:tcPr>
          <w:p w:rsidR="00AA0CEC" w:rsidRDefault="00DA349F">
            <w:pPr>
              <w:jc w:val="center"/>
              <w:rPr>
                <w:rFonts w:eastAsia="宋体" w:cs="Times New Roman"/>
                <w:szCs w:val="21"/>
              </w:rPr>
            </w:pPr>
            <w:r>
              <w:rPr>
                <w:rFonts w:eastAsia="宋体" w:cs="Times New Roman"/>
                <w:szCs w:val="21"/>
              </w:rPr>
              <w:t>2.9</w:t>
            </w:r>
          </w:p>
        </w:tc>
        <w:tc>
          <w:tcPr>
            <w:tcW w:w="940" w:type="dxa"/>
            <w:vAlign w:val="center"/>
          </w:tcPr>
          <w:p w:rsidR="00AA0CEC" w:rsidRDefault="00DA349F">
            <w:pPr>
              <w:jc w:val="center"/>
              <w:rPr>
                <w:rFonts w:cs="Times New Roman"/>
                <w:szCs w:val="21"/>
              </w:rPr>
            </w:pPr>
            <w:r>
              <w:rPr>
                <w:rFonts w:cs="Times New Roman"/>
                <w:szCs w:val="21"/>
              </w:rPr>
              <w:t>1.38</w:t>
            </w:r>
          </w:p>
        </w:tc>
        <w:tc>
          <w:tcPr>
            <w:tcW w:w="955" w:type="dxa"/>
            <w:vAlign w:val="center"/>
          </w:tcPr>
          <w:p w:rsidR="00AA0CEC" w:rsidRDefault="00DA349F">
            <w:pPr>
              <w:jc w:val="center"/>
              <w:rPr>
                <w:rFonts w:cs="Times New Roman"/>
                <w:szCs w:val="21"/>
              </w:rPr>
            </w:pPr>
            <w:r>
              <w:rPr>
                <w:rFonts w:cs="Times New Roman"/>
                <w:szCs w:val="21"/>
              </w:rPr>
              <w:t>1.54</w:t>
            </w:r>
          </w:p>
        </w:tc>
        <w:tc>
          <w:tcPr>
            <w:tcW w:w="1024" w:type="dxa"/>
            <w:vAlign w:val="center"/>
          </w:tcPr>
          <w:p w:rsidR="00AA0CEC" w:rsidRDefault="00DA349F">
            <w:pPr>
              <w:jc w:val="center"/>
              <w:rPr>
                <w:rFonts w:cs="Times New Roman"/>
                <w:szCs w:val="24"/>
              </w:rPr>
            </w:pPr>
            <w:r>
              <w:rPr>
                <w:rFonts w:cs="Times New Roman"/>
                <w:szCs w:val="24"/>
              </w:rPr>
              <w:t>1.11</w:t>
            </w:r>
          </w:p>
        </w:tc>
        <w:tc>
          <w:tcPr>
            <w:tcW w:w="1232" w:type="dxa"/>
            <w:vAlign w:val="center"/>
          </w:tcPr>
          <w:p w:rsidR="00AA0CEC" w:rsidRDefault="00DA349F">
            <w:pPr>
              <w:jc w:val="center"/>
              <w:rPr>
                <w:rFonts w:cs="Times New Roman"/>
                <w:szCs w:val="24"/>
              </w:rPr>
            </w:pPr>
            <w:r>
              <w:rPr>
                <w:rFonts w:cs="Times New Roman"/>
                <w:szCs w:val="24"/>
              </w:rPr>
              <w:t>1.</w:t>
            </w:r>
            <w:r>
              <w:rPr>
                <w:rFonts w:cs="Times New Roman" w:hint="eastAsia"/>
                <w:szCs w:val="24"/>
              </w:rPr>
              <w:t>50</w:t>
            </w:r>
          </w:p>
        </w:tc>
      </w:tr>
      <w:tr w:rsidR="00AA0CEC">
        <w:trPr>
          <w:trHeight w:val="479"/>
          <w:jc w:val="center"/>
        </w:trPr>
        <w:tc>
          <w:tcPr>
            <w:tcW w:w="2572" w:type="dxa"/>
            <w:vAlign w:val="center"/>
          </w:tcPr>
          <w:p w:rsidR="00AA0CEC" w:rsidRDefault="00DA349F">
            <w:pPr>
              <w:jc w:val="center"/>
              <w:rPr>
                <w:rFonts w:cs="Times New Roman"/>
                <w:b/>
                <w:szCs w:val="24"/>
              </w:rPr>
            </w:pPr>
            <w:r>
              <w:rPr>
                <w:rFonts w:cs="Times New Roman"/>
                <w:b/>
                <w:szCs w:val="24"/>
              </w:rPr>
              <w:t>公交出行分担率</w:t>
            </w:r>
          </w:p>
        </w:tc>
        <w:tc>
          <w:tcPr>
            <w:tcW w:w="1295" w:type="dxa"/>
            <w:vAlign w:val="center"/>
          </w:tcPr>
          <w:p w:rsidR="00AA0CEC" w:rsidRDefault="00DA349F">
            <w:pPr>
              <w:jc w:val="center"/>
              <w:rPr>
                <w:rFonts w:eastAsia="宋体" w:cs="Times New Roman"/>
                <w:szCs w:val="21"/>
              </w:rPr>
            </w:pPr>
            <w:r>
              <w:rPr>
                <w:rFonts w:eastAsia="宋体" w:cs="Times New Roman"/>
                <w:szCs w:val="21"/>
              </w:rPr>
              <w:t>%</w:t>
            </w:r>
          </w:p>
        </w:tc>
        <w:tc>
          <w:tcPr>
            <w:tcW w:w="996" w:type="dxa"/>
            <w:vAlign w:val="center"/>
          </w:tcPr>
          <w:p w:rsidR="00AA0CEC" w:rsidRDefault="00DA349F">
            <w:pPr>
              <w:jc w:val="center"/>
              <w:rPr>
                <w:rFonts w:eastAsia="宋体" w:cs="Times New Roman"/>
                <w:szCs w:val="21"/>
              </w:rPr>
            </w:pPr>
            <w:r>
              <w:rPr>
                <w:rFonts w:eastAsia="宋体" w:cs="Times New Roman"/>
                <w:szCs w:val="21"/>
              </w:rPr>
              <w:t>40</w:t>
            </w:r>
          </w:p>
        </w:tc>
        <w:tc>
          <w:tcPr>
            <w:tcW w:w="940" w:type="dxa"/>
            <w:vAlign w:val="center"/>
          </w:tcPr>
          <w:p w:rsidR="00AA0CEC" w:rsidRDefault="00DA349F">
            <w:pPr>
              <w:jc w:val="center"/>
              <w:rPr>
                <w:rFonts w:cs="Times New Roman"/>
                <w:szCs w:val="21"/>
              </w:rPr>
            </w:pPr>
            <w:r>
              <w:rPr>
                <w:rFonts w:cs="Times New Roman"/>
                <w:szCs w:val="21"/>
              </w:rPr>
              <w:t>25</w:t>
            </w:r>
          </w:p>
        </w:tc>
        <w:tc>
          <w:tcPr>
            <w:tcW w:w="955" w:type="dxa"/>
            <w:vAlign w:val="center"/>
          </w:tcPr>
          <w:p w:rsidR="00AA0CEC" w:rsidRDefault="00DA349F">
            <w:pPr>
              <w:jc w:val="center"/>
              <w:rPr>
                <w:rFonts w:cs="Times New Roman"/>
                <w:szCs w:val="21"/>
              </w:rPr>
            </w:pPr>
            <w:r>
              <w:rPr>
                <w:rFonts w:cs="Times New Roman"/>
                <w:szCs w:val="21"/>
              </w:rPr>
              <w:t>20</w:t>
            </w:r>
          </w:p>
        </w:tc>
        <w:tc>
          <w:tcPr>
            <w:tcW w:w="1024" w:type="dxa"/>
            <w:vAlign w:val="center"/>
          </w:tcPr>
          <w:p w:rsidR="00AA0CEC" w:rsidRDefault="00DA349F">
            <w:pPr>
              <w:jc w:val="center"/>
              <w:rPr>
                <w:rFonts w:cs="Times New Roman"/>
                <w:szCs w:val="24"/>
              </w:rPr>
            </w:pPr>
            <w:r>
              <w:rPr>
                <w:rFonts w:cs="Times New Roman"/>
                <w:szCs w:val="24"/>
              </w:rPr>
              <w:t>20</w:t>
            </w:r>
          </w:p>
        </w:tc>
        <w:tc>
          <w:tcPr>
            <w:tcW w:w="1232" w:type="dxa"/>
            <w:vAlign w:val="center"/>
          </w:tcPr>
          <w:p w:rsidR="00AA0CEC" w:rsidRDefault="00DA349F">
            <w:pPr>
              <w:jc w:val="center"/>
              <w:rPr>
                <w:rFonts w:cs="Times New Roman"/>
                <w:szCs w:val="24"/>
              </w:rPr>
            </w:pPr>
            <w:r>
              <w:rPr>
                <w:rFonts w:cs="Times New Roman" w:hint="eastAsia"/>
                <w:szCs w:val="24"/>
              </w:rPr>
              <w:t>25</w:t>
            </w:r>
          </w:p>
        </w:tc>
      </w:tr>
      <w:tr w:rsidR="00AA0CEC">
        <w:trPr>
          <w:trHeight w:val="479"/>
          <w:jc w:val="center"/>
        </w:trPr>
        <w:tc>
          <w:tcPr>
            <w:tcW w:w="2572" w:type="dxa"/>
            <w:vAlign w:val="center"/>
          </w:tcPr>
          <w:p w:rsidR="00AA0CEC" w:rsidRDefault="00DA349F">
            <w:pPr>
              <w:jc w:val="center"/>
              <w:rPr>
                <w:rFonts w:cs="Times New Roman"/>
                <w:b/>
                <w:szCs w:val="24"/>
              </w:rPr>
            </w:pPr>
            <w:r>
              <w:rPr>
                <w:rFonts w:cs="Times New Roman"/>
                <w:b/>
                <w:szCs w:val="24"/>
              </w:rPr>
              <w:t>公共交通站点</w:t>
            </w:r>
          </w:p>
          <w:p w:rsidR="00AA0CEC" w:rsidRDefault="00DA349F">
            <w:pPr>
              <w:jc w:val="center"/>
              <w:rPr>
                <w:rFonts w:cs="Times New Roman"/>
                <w:b/>
                <w:szCs w:val="24"/>
              </w:rPr>
            </w:pPr>
            <w:r>
              <w:rPr>
                <w:rFonts w:cs="Times New Roman"/>
                <w:b/>
                <w:szCs w:val="24"/>
              </w:rPr>
              <w:t>300</w:t>
            </w:r>
            <w:r>
              <w:rPr>
                <w:rFonts w:cs="Times New Roman"/>
                <w:b/>
                <w:szCs w:val="24"/>
              </w:rPr>
              <w:t>米覆盖率</w:t>
            </w:r>
          </w:p>
        </w:tc>
        <w:tc>
          <w:tcPr>
            <w:tcW w:w="1295" w:type="dxa"/>
            <w:vAlign w:val="center"/>
          </w:tcPr>
          <w:p w:rsidR="00AA0CEC" w:rsidRDefault="00DA349F">
            <w:pPr>
              <w:jc w:val="center"/>
              <w:rPr>
                <w:rFonts w:eastAsia="宋体" w:cs="Times New Roman"/>
                <w:szCs w:val="21"/>
              </w:rPr>
            </w:pPr>
            <w:r>
              <w:rPr>
                <w:rFonts w:eastAsia="宋体" w:cs="Times New Roman"/>
                <w:szCs w:val="21"/>
              </w:rPr>
              <w:t>%</w:t>
            </w:r>
          </w:p>
        </w:tc>
        <w:tc>
          <w:tcPr>
            <w:tcW w:w="996" w:type="dxa"/>
            <w:vAlign w:val="center"/>
          </w:tcPr>
          <w:p w:rsidR="00AA0CEC" w:rsidRDefault="00DA349F">
            <w:pPr>
              <w:jc w:val="center"/>
              <w:rPr>
                <w:rFonts w:eastAsia="宋体" w:cs="Times New Roman"/>
                <w:szCs w:val="21"/>
              </w:rPr>
            </w:pPr>
            <w:r>
              <w:rPr>
                <w:rFonts w:eastAsia="宋体" w:cs="Times New Roman"/>
                <w:szCs w:val="21"/>
              </w:rPr>
              <w:t>70</w:t>
            </w:r>
          </w:p>
        </w:tc>
        <w:tc>
          <w:tcPr>
            <w:tcW w:w="940" w:type="dxa"/>
            <w:vAlign w:val="center"/>
          </w:tcPr>
          <w:p w:rsidR="00AA0CEC" w:rsidRDefault="00DA349F">
            <w:pPr>
              <w:jc w:val="center"/>
              <w:rPr>
                <w:rFonts w:cs="Times New Roman"/>
                <w:szCs w:val="21"/>
              </w:rPr>
            </w:pPr>
            <w:r>
              <w:rPr>
                <w:rFonts w:cs="Times New Roman"/>
                <w:szCs w:val="21"/>
              </w:rPr>
              <w:t>60</w:t>
            </w:r>
          </w:p>
        </w:tc>
        <w:tc>
          <w:tcPr>
            <w:tcW w:w="955" w:type="dxa"/>
            <w:vAlign w:val="center"/>
          </w:tcPr>
          <w:p w:rsidR="00AA0CEC" w:rsidRDefault="00DA349F">
            <w:pPr>
              <w:jc w:val="center"/>
              <w:rPr>
                <w:rFonts w:cs="Times New Roman"/>
                <w:szCs w:val="21"/>
              </w:rPr>
            </w:pPr>
            <w:r>
              <w:rPr>
                <w:rFonts w:cs="Times New Roman"/>
                <w:szCs w:val="21"/>
              </w:rPr>
              <w:t>69.3</w:t>
            </w:r>
          </w:p>
        </w:tc>
        <w:tc>
          <w:tcPr>
            <w:tcW w:w="1024" w:type="dxa"/>
            <w:vAlign w:val="center"/>
          </w:tcPr>
          <w:p w:rsidR="00AA0CEC" w:rsidRDefault="00DA349F">
            <w:pPr>
              <w:jc w:val="center"/>
              <w:rPr>
                <w:rFonts w:cs="Times New Roman"/>
                <w:szCs w:val="24"/>
              </w:rPr>
            </w:pPr>
            <w:r>
              <w:rPr>
                <w:rFonts w:cs="Times New Roman"/>
                <w:szCs w:val="24"/>
              </w:rPr>
              <w:t>65</w:t>
            </w:r>
          </w:p>
        </w:tc>
        <w:tc>
          <w:tcPr>
            <w:tcW w:w="1232" w:type="dxa"/>
            <w:vAlign w:val="center"/>
          </w:tcPr>
          <w:p w:rsidR="00AA0CEC" w:rsidRDefault="00DA349F">
            <w:pPr>
              <w:jc w:val="center"/>
              <w:rPr>
                <w:rFonts w:cs="Times New Roman"/>
                <w:szCs w:val="24"/>
              </w:rPr>
            </w:pPr>
            <w:r>
              <w:rPr>
                <w:rFonts w:cs="Times New Roman" w:hint="eastAsia"/>
                <w:szCs w:val="24"/>
              </w:rPr>
              <w:t>60</w:t>
            </w:r>
          </w:p>
        </w:tc>
      </w:tr>
      <w:tr w:rsidR="00AA0CEC">
        <w:trPr>
          <w:trHeight w:val="489"/>
          <w:jc w:val="center"/>
        </w:trPr>
        <w:tc>
          <w:tcPr>
            <w:tcW w:w="2572" w:type="dxa"/>
            <w:vAlign w:val="center"/>
          </w:tcPr>
          <w:p w:rsidR="00AA0CEC" w:rsidRDefault="00DA349F">
            <w:pPr>
              <w:jc w:val="center"/>
              <w:rPr>
                <w:rFonts w:cs="Times New Roman"/>
                <w:b/>
                <w:szCs w:val="24"/>
              </w:rPr>
            </w:pPr>
            <w:r>
              <w:rPr>
                <w:rFonts w:cs="Times New Roman"/>
                <w:b/>
                <w:szCs w:val="24"/>
              </w:rPr>
              <w:t>公共交通站点</w:t>
            </w:r>
          </w:p>
          <w:p w:rsidR="00AA0CEC" w:rsidRDefault="00DA349F">
            <w:pPr>
              <w:jc w:val="center"/>
              <w:rPr>
                <w:rFonts w:cs="Times New Roman"/>
                <w:b/>
                <w:szCs w:val="24"/>
              </w:rPr>
            </w:pPr>
            <w:r>
              <w:rPr>
                <w:rFonts w:cs="Times New Roman"/>
                <w:b/>
                <w:szCs w:val="24"/>
              </w:rPr>
              <w:t>500</w:t>
            </w:r>
            <w:r>
              <w:rPr>
                <w:rFonts w:cs="Times New Roman"/>
                <w:b/>
                <w:szCs w:val="24"/>
              </w:rPr>
              <w:t>米覆盖率</w:t>
            </w:r>
          </w:p>
        </w:tc>
        <w:tc>
          <w:tcPr>
            <w:tcW w:w="1295" w:type="dxa"/>
            <w:vAlign w:val="center"/>
          </w:tcPr>
          <w:p w:rsidR="00AA0CEC" w:rsidRDefault="00DA349F">
            <w:pPr>
              <w:jc w:val="center"/>
              <w:rPr>
                <w:rFonts w:eastAsia="宋体" w:cs="Times New Roman"/>
                <w:szCs w:val="21"/>
              </w:rPr>
            </w:pPr>
            <w:r>
              <w:rPr>
                <w:rFonts w:eastAsia="宋体" w:cs="Times New Roman"/>
                <w:szCs w:val="21"/>
              </w:rPr>
              <w:t>%</w:t>
            </w:r>
          </w:p>
        </w:tc>
        <w:tc>
          <w:tcPr>
            <w:tcW w:w="996" w:type="dxa"/>
            <w:vAlign w:val="center"/>
          </w:tcPr>
          <w:p w:rsidR="00AA0CEC" w:rsidRDefault="00DA349F">
            <w:pPr>
              <w:jc w:val="center"/>
              <w:rPr>
                <w:rFonts w:eastAsia="宋体" w:cs="Times New Roman"/>
                <w:szCs w:val="21"/>
              </w:rPr>
            </w:pPr>
            <w:r>
              <w:rPr>
                <w:rFonts w:eastAsia="宋体" w:cs="Times New Roman"/>
                <w:szCs w:val="21"/>
              </w:rPr>
              <w:t>90</w:t>
            </w:r>
          </w:p>
        </w:tc>
        <w:tc>
          <w:tcPr>
            <w:tcW w:w="940" w:type="dxa"/>
            <w:vAlign w:val="center"/>
          </w:tcPr>
          <w:p w:rsidR="00AA0CEC" w:rsidRDefault="00DA349F">
            <w:pPr>
              <w:jc w:val="center"/>
              <w:rPr>
                <w:rFonts w:cs="Times New Roman"/>
                <w:szCs w:val="21"/>
              </w:rPr>
            </w:pPr>
            <w:r>
              <w:rPr>
                <w:rFonts w:cs="Times New Roman"/>
                <w:szCs w:val="21"/>
              </w:rPr>
              <w:t>85</w:t>
            </w:r>
          </w:p>
        </w:tc>
        <w:tc>
          <w:tcPr>
            <w:tcW w:w="955" w:type="dxa"/>
            <w:vAlign w:val="center"/>
          </w:tcPr>
          <w:p w:rsidR="00AA0CEC" w:rsidRDefault="00DA349F">
            <w:pPr>
              <w:jc w:val="center"/>
              <w:rPr>
                <w:rFonts w:cs="Times New Roman"/>
                <w:szCs w:val="21"/>
              </w:rPr>
            </w:pPr>
            <w:r>
              <w:rPr>
                <w:rFonts w:cs="Times New Roman"/>
                <w:szCs w:val="21"/>
              </w:rPr>
              <w:t>84.0</w:t>
            </w:r>
          </w:p>
        </w:tc>
        <w:tc>
          <w:tcPr>
            <w:tcW w:w="1024" w:type="dxa"/>
            <w:vAlign w:val="center"/>
          </w:tcPr>
          <w:p w:rsidR="00AA0CEC" w:rsidRDefault="00DA349F">
            <w:pPr>
              <w:jc w:val="center"/>
              <w:rPr>
                <w:rFonts w:cs="Times New Roman"/>
                <w:szCs w:val="24"/>
              </w:rPr>
            </w:pPr>
            <w:r>
              <w:rPr>
                <w:rFonts w:cs="Times New Roman"/>
                <w:szCs w:val="24"/>
              </w:rPr>
              <w:t>90</w:t>
            </w:r>
          </w:p>
        </w:tc>
        <w:tc>
          <w:tcPr>
            <w:tcW w:w="1232" w:type="dxa"/>
            <w:vAlign w:val="center"/>
          </w:tcPr>
          <w:p w:rsidR="00AA0CEC" w:rsidRDefault="00DA349F">
            <w:pPr>
              <w:jc w:val="center"/>
              <w:rPr>
                <w:rFonts w:cs="Times New Roman"/>
                <w:szCs w:val="24"/>
              </w:rPr>
            </w:pPr>
            <w:r>
              <w:rPr>
                <w:rFonts w:cs="Times New Roman" w:hint="eastAsia"/>
                <w:szCs w:val="24"/>
              </w:rPr>
              <w:t>85</w:t>
            </w:r>
          </w:p>
        </w:tc>
      </w:tr>
    </w:tbl>
    <w:p w:rsidR="00AA0CEC" w:rsidRDefault="00AA0CEC">
      <w:pPr>
        <w:spacing w:line="480" w:lineRule="auto"/>
        <w:jc w:val="left"/>
        <w:rPr>
          <w:rFonts w:cs="Times New Roman"/>
          <w:b/>
        </w:rPr>
      </w:pPr>
    </w:p>
    <w:p w:rsidR="00AA0CEC" w:rsidRDefault="00DA349F">
      <w:pPr>
        <w:widowControl/>
        <w:spacing w:line="240" w:lineRule="auto"/>
        <w:jc w:val="left"/>
        <w:rPr>
          <w:rFonts w:cs="Times New Roman"/>
          <w:b/>
        </w:rPr>
      </w:pPr>
      <w:r>
        <w:rPr>
          <w:rFonts w:cs="Times New Roman"/>
          <w:b/>
        </w:rPr>
        <w:br w:type="page"/>
      </w:r>
    </w:p>
    <w:p w:rsidR="00AA0CEC" w:rsidRDefault="00DA349F">
      <w:pPr>
        <w:pStyle w:val="1"/>
      </w:pPr>
      <w:bookmarkStart w:id="41" w:name="_Toc454810015"/>
      <w:r>
        <w:rPr>
          <w:rFonts w:hint="eastAsia"/>
        </w:rPr>
        <w:lastRenderedPageBreak/>
        <w:t>附件</w:t>
      </w:r>
      <w:r>
        <w:rPr>
          <w:rFonts w:hint="eastAsia"/>
        </w:rPr>
        <w:t>3</w:t>
      </w:r>
      <w:bookmarkEnd w:id="41"/>
    </w:p>
    <w:p w:rsidR="00AA0CEC" w:rsidRDefault="00DA349F">
      <w:pPr>
        <w:jc w:val="center"/>
      </w:pPr>
      <w:r>
        <w:rPr>
          <w:noProof/>
          <w:bdr w:val="single" w:sz="4" w:space="0" w:color="auto"/>
        </w:rPr>
        <w:drawing>
          <wp:inline distT="0" distB="0" distL="0" distR="0">
            <wp:extent cx="4284980" cy="3743325"/>
            <wp:effectExtent l="0" t="0" r="1270" b="9525"/>
            <wp:docPr id="1" name="图片 20" descr="C:\Users\ADMINI~1\AppData\Local\Temp\ksohtml\wps3EE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descr="C:\Users\ADMINI~1\AppData\Local\Temp\ksohtml\wps3EEF.tmp.jpg"/>
                    <pic:cNvPicPr>
                      <a:picLocks noChangeAspect="1" noChangeArrowheads="1"/>
                    </pic:cNvPicPr>
                  </pic:nvPicPr>
                  <pic:blipFill>
                    <a:blip r:embed="rId33" cstate="print"/>
                    <a:srcRect/>
                    <a:stretch>
                      <a:fillRect/>
                    </a:stretch>
                  </pic:blipFill>
                  <pic:spPr>
                    <a:xfrm>
                      <a:off x="0" y="0"/>
                      <a:ext cx="4284980" cy="3743325"/>
                    </a:xfrm>
                    <a:prstGeom prst="rect">
                      <a:avLst/>
                    </a:prstGeom>
                    <a:noFill/>
                    <a:ln w="9525">
                      <a:noFill/>
                      <a:miter lim="800000"/>
                      <a:headEnd/>
                      <a:tailEnd/>
                    </a:ln>
                  </pic:spPr>
                </pic:pic>
              </a:graphicData>
            </a:graphic>
          </wp:inline>
        </w:drawing>
      </w:r>
    </w:p>
    <w:p w:rsidR="00AA0CEC" w:rsidRDefault="00DA349F">
      <w:pPr>
        <w:jc w:val="center"/>
        <w:rPr>
          <w:b/>
          <w:sz w:val="21"/>
          <w:szCs w:val="21"/>
        </w:rPr>
      </w:pPr>
      <w:r>
        <w:rPr>
          <w:rFonts w:ascii="黑体" w:eastAsia="黑体" w:hAnsi="黑体" w:hint="eastAsia"/>
          <w:b/>
          <w:sz w:val="21"/>
          <w:szCs w:val="21"/>
        </w:rPr>
        <w:t>附图</w:t>
      </w:r>
      <w:r w:rsidR="00D61AD0">
        <w:rPr>
          <w:rFonts w:ascii="黑体" w:eastAsia="黑体" w:hAnsi="黑体" w:hint="eastAsia"/>
          <w:b/>
          <w:sz w:val="21"/>
          <w:szCs w:val="21"/>
        </w:rPr>
        <w:t>1</w:t>
      </w:r>
      <w:r>
        <w:rPr>
          <w:rFonts w:ascii="黑体" w:eastAsia="黑体" w:hAnsi="黑体"/>
          <w:b/>
          <w:sz w:val="21"/>
          <w:szCs w:val="21"/>
        </w:rPr>
        <w:t xml:space="preserve">  </w:t>
      </w:r>
      <w:r>
        <w:rPr>
          <w:rFonts w:ascii="黑体" w:eastAsia="黑体" w:hAnsi="黑体" w:hint="eastAsia"/>
          <w:b/>
          <w:sz w:val="21"/>
          <w:szCs w:val="21"/>
        </w:rPr>
        <w:t>石河子市近期人口出行分布图</w:t>
      </w:r>
    </w:p>
    <w:p w:rsidR="00AA0CEC" w:rsidRDefault="00AA0CEC">
      <w:pPr>
        <w:jc w:val="center"/>
        <w:rPr>
          <w:b/>
        </w:rPr>
      </w:pPr>
    </w:p>
    <w:p w:rsidR="00AA0CEC" w:rsidRDefault="00DA349F">
      <w:pPr>
        <w:jc w:val="center"/>
        <w:rPr>
          <w:b/>
        </w:rPr>
      </w:pPr>
      <w:r>
        <w:rPr>
          <w:rFonts w:hint="eastAsia"/>
          <w:b/>
          <w:noProof/>
          <w:bdr w:val="single" w:sz="4" w:space="0" w:color="auto"/>
        </w:rPr>
        <w:lastRenderedPageBreak/>
        <w:drawing>
          <wp:inline distT="0" distB="0" distL="0" distR="0">
            <wp:extent cx="2735580" cy="3482340"/>
            <wp:effectExtent l="19050" t="0" r="7133" b="0"/>
            <wp:docPr id="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pic:cNvPicPr>
                      <a:picLocks noChangeAspect="1" noChangeArrowheads="1"/>
                    </pic:cNvPicPr>
                  </pic:nvPicPr>
                  <pic:blipFill>
                    <a:blip r:embed="rId34" cstate="print"/>
                    <a:srcRect l="1587"/>
                    <a:stretch>
                      <a:fillRect/>
                    </a:stretch>
                  </pic:blipFill>
                  <pic:spPr>
                    <a:xfrm>
                      <a:off x="0" y="0"/>
                      <a:ext cx="2739040" cy="3486456"/>
                    </a:xfrm>
                    <a:prstGeom prst="rect">
                      <a:avLst/>
                    </a:prstGeom>
                    <a:noFill/>
                    <a:ln w="9525">
                      <a:noFill/>
                      <a:miter lim="800000"/>
                      <a:headEnd/>
                      <a:tailEnd/>
                    </a:ln>
                  </pic:spPr>
                </pic:pic>
              </a:graphicData>
            </a:graphic>
          </wp:inline>
        </w:drawing>
      </w:r>
    </w:p>
    <w:p w:rsidR="00AA0CEC" w:rsidRDefault="00DA349F">
      <w:pPr>
        <w:jc w:val="center"/>
        <w:rPr>
          <w:b/>
          <w:sz w:val="21"/>
          <w:szCs w:val="21"/>
        </w:rPr>
      </w:pPr>
      <w:r>
        <w:rPr>
          <w:rFonts w:ascii="黑体" w:eastAsia="黑体" w:hAnsi="黑体" w:hint="eastAsia"/>
          <w:b/>
          <w:sz w:val="21"/>
          <w:szCs w:val="21"/>
        </w:rPr>
        <w:t>附图</w:t>
      </w:r>
      <w:r w:rsidR="00D61AD0">
        <w:rPr>
          <w:rFonts w:ascii="黑体" w:eastAsia="黑体" w:hAnsi="黑体" w:hint="eastAsia"/>
          <w:b/>
          <w:sz w:val="21"/>
          <w:szCs w:val="21"/>
        </w:rPr>
        <w:t>2</w:t>
      </w:r>
      <w:r>
        <w:rPr>
          <w:rFonts w:ascii="黑体" w:eastAsia="黑体" w:hAnsi="黑体"/>
          <w:b/>
          <w:sz w:val="21"/>
          <w:szCs w:val="21"/>
        </w:rPr>
        <w:t xml:space="preserve">  </w:t>
      </w:r>
      <w:r>
        <w:rPr>
          <w:rFonts w:ascii="黑体" w:eastAsia="黑体" w:hAnsi="黑体" w:hint="eastAsia"/>
          <w:b/>
          <w:sz w:val="21"/>
          <w:szCs w:val="21"/>
        </w:rPr>
        <w:t>五家渠市近期中心城区公交线网布局规划图</w:t>
      </w:r>
    </w:p>
    <w:p w:rsidR="00AA0CEC" w:rsidRDefault="00AA0CEC"/>
    <w:p w:rsidR="00AA0CEC" w:rsidRDefault="00DA349F">
      <w:pPr>
        <w:spacing w:line="480" w:lineRule="auto"/>
        <w:jc w:val="center"/>
        <w:rPr>
          <w:rFonts w:cs="Times New Roman"/>
        </w:rPr>
      </w:pPr>
      <w:r>
        <w:rPr>
          <w:rFonts w:ascii="仿宋" w:eastAsia="仿宋" w:hAnsi="仿宋" w:hint="eastAsia"/>
          <w:noProof/>
          <w:sz w:val="28"/>
          <w:szCs w:val="28"/>
        </w:rPr>
        <w:drawing>
          <wp:inline distT="0" distB="0" distL="0" distR="0">
            <wp:extent cx="4481195" cy="2987675"/>
            <wp:effectExtent l="19050" t="0" r="0" b="0"/>
            <wp:docPr id="4" name="图片 29" descr="b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9" descr="brt1"/>
                    <pic:cNvPicPr>
                      <a:picLocks noChangeAspect="1" noChangeArrowheads="1"/>
                    </pic:cNvPicPr>
                  </pic:nvPicPr>
                  <pic:blipFill>
                    <a:blip r:embed="rId35" cstate="print"/>
                    <a:srcRect/>
                    <a:stretch>
                      <a:fillRect/>
                    </a:stretch>
                  </pic:blipFill>
                  <pic:spPr>
                    <a:xfrm>
                      <a:off x="0" y="0"/>
                      <a:ext cx="4483835" cy="2989383"/>
                    </a:xfrm>
                    <a:prstGeom prst="rect">
                      <a:avLst/>
                    </a:prstGeom>
                    <a:noFill/>
                    <a:ln w="9525">
                      <a:noFill/>
                      <a:miter lim="800000"/>
                      <a:headEnd/>
                      <a:tailEnd/>
                    </a:ln>
                  </pic:spPr>
                </pic:pic>
              </a:graphicData>
            </a:graphic>
          </wp:inline>
        </w:drawing>
      </w:r>
    </w:p>
    <w:p w:rsidR="00AA0CEC" w:rsidRDefault="00DA349F">
      <w:pPr>
        <w:jc w:val="center"/>
        <w:rPr>
          <w:rFonts w:ascii="黑体" w:eastAsia="黑体" w:hAnsi="黑体"/>
          <w:b/>
          <w:sz w:val="21"/>
          <w:szCs w:val="21"/>
        </w:rPr>
      </w:pPr>
      <w:r>
        <w:rPr>
          <w:rFonts w:ascii="黑体" w:eastAsia="黑体" w:hAnsi="黑体" w:hint="eastAsia"/>
          <w:b/>
          <w:sz w:val="21"/>
          <w:szCs w:val="21"/>
        </w:rPr>
        <w:t>附图</w:t>
      </w:r>
      <w:r w:rsidR="00D61AD0">
        <w:rPr>
          <w:rFonts w:ascii="黑体" w:eastAsia="黑体" w:hAnsi="黑体" w:hint="eastAsia"/>
          <w:b/>
          <w:sz w:val="21"/>
          <w:szCs w:val="21"/>
        </w:rPr>
        <w:t>3</w:t>
      </w:r>
      <w:r>
        <w:rPr>
          <w:rFonts w:ascii="黑体" w:eastAsia="黑体" w:hAnsi="黑体"/>
          <w:b/>
          <w:sz w:val="21"/>
          <w:szCs w:val="21"/>
        </w:rPr>
        <w:t xml:space="preserve">   </w:t>
      </w:r>
      <w:r>
        <w:rPr>
          <w:rFonts w:ascii="黑体" w:eastAsia="黑体" w:hAnsi="黑体" w:hint="eastAsia"/>
          <w:b/>
          <w:sz w:val="21"/>
          <w:szCs w:val="21"/>
        </w:rPr>
        <w:t>新疆乌鲁木齐</w:t>
      </w:r>
      <w:r>
        <w:rPr>
          <w:rFonts w:ascii="黑体" w:eastAsia="黑体" w:hAnsi="黑体"/>
          <w:b/>
          <w:sz w:val="21"/>
          <w:szCs w:val="21"/>
        </w:rPr>
        <w:t>BRT</w:t>
      </w:r>
      <w:r>
        <w:rPr>
          <w:rFonts w:ascii="黑体" w:eastAsia="黑体" w:hAnsi="黑体" w:hint="eastAsia"/>
          <w:b/>
          <w:sz w:val="21"/>
          <w:szCs w:val="21"/>
        </w:rPr>
        <w:t>车站图</w:t>
      </w:r>
    </w:p>
    <w:p w:rsidR="00AA0CEC" w:rsidRDefault="00AA0CEC">
      <w:pPr>
        <w:spacing w:line="480" w:lineRule="auto"/>
        <w:jc w:val="left"/>
        <w:rPr>
          <w:rFonts w:cs="Times New Roman"/>
          <w:b/>
        </w:rPr>
      </w:pPr>
    </w:p>
    <w:sectPr w:rsidR="00AA0CEC" w:rsidSect="00BE396A">
      <w:footerReference w:type="default" r:id="rId3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DFD" w:rsidRDefault="00DD3DFD" w:rsidP="00AA0CEC">
      <w:pPr>
        <w:spacing w:line="240" w:lineRule="auto"/>
      </w:pPr>
      <w:r>
        <w:separator/>
      </w:r>
    </w:p>
  </w:endnote>
  <w:endnote w:type="continuationSeparator" w:id="1">
    <w:p w:rsidR="00DD3DFD" w:rsidRDefault="00DD3DFD" w:rsidP="00AA0C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DE" w:rsidRDefault="00C551DE">
    <w:pPr>
      <w:pStyle w:val="a5"/>
      <w:spacing w:before="120"/>
      <w:ind w:firstLine="360"/>
      <w:jc w:val="center"/>
    </w:pPr>
  </w:p>
  <w:p w:rsidR="00C551DE" w:rsidRDefault="00C551DE">
    <w:pPr>
      <w:spacing w:before="120"/>
      <w:ind w:firstLine="360"/>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3033"/>
      <w:docPartObj>
        <w:docPartGallery w:val="Page Numbers (Bottom of Page)"/>
        <w:docPartUnique/>
      </w:docPartObj>
    </w:sdtPr>
    <w:sdtContent>
      <w:p w:rsidR="009A6F7E" w:rsidRDefault="001720D6">
        <w:pPr>
          <w:pStyle w:val="a5"/>
          <w:jc w:val="center"/>
        </w:pPr>
        <w:fldSimple w:instr=" PAGE   \* MERGEFORMAT ">
          <w:r w:rsidR="00EF7C3F" w:rsidRPr="00EF7C3F">
            <w:rPr>
              <w:noProof/>
              <w:lang w:val="zh-CN"/>
            </w:rPr>
            <w:t>II</w:t>
          </w:r>
        </w:fldSimple>
      </w:p>
    </w:sdtContent>
  </w:sdt>
  <w:p w:rsidR="00C551DE" w:rsidRDefault="00C551DE">
    <w:pPr>
      <w:spacing w:before="120"/>
      <w:ind w:firstLine="360"/>
      <w:jc w:val="cen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DE" w:rsidRDefault="001720D6">
    <w:pPr>
      <w:pStyle w:val="a5"/>
      <w:jc w:val="center"/>
    </w:pPr>
    <w:r w:rsidRPr="00677948">
      <w:rPr>
        <w:sz w:val="21"/>
        <w:szCs w:val="21"/>
      </w:rPr>
      <w:fldChar w:fldCharType="begin"/>
    </w:r>
    <w:r w:rsidR="00C551DE" w:rsidRPr="00677948">
      <w:rPr>
        <w:sz w:val="21"/>
        <w:szCs w:val="21"/>
      </w:rPr>
      <w:instrText xml:space="preserve"> PAGE   \* MERGEFORMAT </w:instrText>
    </w:r>
    <w:r w:rsidRPr="00677948">
      <w:rPr>
        <w:sz w:val="21"/>
        <w:szCs w:val="21"/>
      </w:rPr>
      <w:fldChar w:fldCharType="separate"/>
    </w:r>
    <w:r w:rsidR="00EF7C3F" w:rsidRPr="00EF7C3F">
      <w:rPr>
        <w:noProof/>
        <w:sz w:val="21"/>
        <w:szCs w:val="21"/>
        <w:lang w:val="zh-CN"/>
      </w:rPr>
      <w:t>30</w:t>
    </w:r>
    <w:r w:rsidRPr="00677948">
      <w:rPr>
        <w:sz w:val="21"/>
        <w:szCs w:val="21"/>
      </w:rPr>
      <w:fldChar w:fldCharType="end"/>
    </w:r>
  </w:p>
  <w:p w:rsidR="00C551DE" w:rsidRDefault="00C551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DFD" w:rsidRDefault="00DD3DFD" w:rsidP="00AA0CEC">
      <w:pPr>
        <w:spacing w:line="240" w:lineRule="auto"/>
      </w:pPr>
      <w:r>
        <w:separator/>
      </w:r>
    </w:p>
  </w:footnote>
  <w:footnote w:type="continuationSeparator" w:id="1">
    <w:p w:rsidR="00DD3DFD" w:rsidRDefault="00DD3DFD" w:rsidP="00AA0C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DE" w:rsidRDefault="00C551DE" w:rsidP="00CB2CE2">
    <w:pPr>
      <w:spacing w:before="120"/>
      <w:ind w:left="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159"/>
    <w:multiLevelType w:val="hybridMultilevel"/>
    <w:tmpl w:val="63D4122C"/>
    <w:lvl w:ilvl="0" w:tplc="2676F3BE">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36854C63"/>
    <w:multiLevelType w:val="multilevel"/>
    <w:tmpl w:val="36854C63"/>
    <w:lvl w:ilvl="0">
      <w:start w:val="1"/>
      <w:numFmt w:val="lowerLetter"/>
      <w:lvlText w:val="%1)"/>
      <w:lvlJc w:val="left"/>
      <w:pPr>
        <w:ind w:left="1020" w:hanging="420"/>
      </w:p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F9E"/>
    <w:rsid w:val="00000CA8"/>
    <w:rsid w:val="000038F9"/>
    <w:rsid w:val="000063CA"/>
    <w:rsid w:val="000068C1"/>
    <w:rsid w:val="00012EDC"/>
    <w:rsid w:val="000149D0"/>
    <w:rsid w:val="00021CEB"/>
    <w:rsid w:val="0002336E"/>
    <w:rsid w:val="00023E4E"/>
    <w:rsid w:val="0002566D"/>
    <w:rsid w:val="000256A0"/>
    <w:rsid w:val="00057AA3"/>
    <w:rsid w:val="00063035"/>
    <w:rsid w:val="000723EE"/>
    <w:rsid w:val="0008215B"/>
    <w:rsid w:val="00082ED8"/>
    <w:rsid w:val="000A2409"/>
    <w:rsid w:val="000B7F63"/>
    <w:rsid w:val="000C2FDB"/>
    <w:rsid w:val="000C4FAF"/>
    <w:rsid w:val="000D055C"/>
    <w:rsid w:val="000D2596"/>
    <w:rsid w:val="000E04A5"/>
    <w:rsid w:val="000E1092"/>
    <w:rsid w:val="000E3635"/>
    <w:rsid w:val="000E6C69"/>
    <w:rsid w:val="000F52DB"/>
    <w:rsid w:val="00100A0E"/>
    <w:rsid w:val="00104BB2"/>
    <w:rsid w:val="00112359"/>
    <w:rsid w:val="00112A72"/>
    <w:rsid w:val="001136E0"/>
    <w:rsid w:val="00123ED3"/>
    <w:rsid w:val="00123FD7"/>
    <w:rsid w:val="00157424"/>
    <w:rsid w:val="00163D99"/>
    <w:rsid w:val="00166D75"/>
    <w:rsid w:val="001720D6"/>
    <w:rsid w:val="001729AA"/>
    <w:rsid w:val="00177BBB"/>
    <w:rsid w:val="00182FEE"/>
    <w:rsid w:val="001842BA"/>
    <w:rsid w:val="00191063"/>
    <w:rsid w:val="00197DF1"/>
    <w:rsid w:val="001A1092"/>
    <w:rsid w:val="001A32D4"/>
    <w:rsid w:val="001A6831"/>
    <w:rsid w:val="001C569F"/>
    <w:rsid w:val="001D3B3B"/>
    <w:rsid w:val="001D5FE7"/>
    <w:rsid w:val="001D7E5F"/>
    <w:rsid w:val="001E640A"/>
    <w:rsid w:val="001F0D76"/>
    <w:rsid w:val="001F535F"/>
    <w:rsid w:val="001F5F63"/>
    <w:rsid w:val="00202DEB"/>
    <w:rsid w:val="00204565"/>
    <w:rsid w:val="00216184"/>
    <w:rsid w:val="00216BC9"/>
    <w:rsid w:val="00222593"/>
    <w:rsid w:val="00225EA7"/>
    <w:rsid w:val="002266EE"/>
    <w:rsid w:val="00233C78"/>
    <w:rsid w:val="002506B8"/>
    <w:rsid w:val="00257BE2"/>
    <w:rsid w:val="002703D5"/>
    <w:rsid w:val="0028193B"/>
    <w:rsid w:val="002932BD"/>
    <w:rsid w:val="002A2EF7"/>
    <w:rsid w:val="002A61A7"/>
    <w:rsid w:val="002A7960"/>
    <w:rsid w:val="002B61EB"/>
    <w:rsid w:val="002D29E8"/>
    <w:rsid w:val="002D3BEE"/>
    <w:rsid w:val="002F7EEC"/>
    <w:rsid w:val="00303A0A"/>
    <w:rsid w:val="0030417D"/>
    <w:rsid w:val="0030712E"/>
    <w:rsid w:val="00317519"/>
    <w:rsid w:val="00326523"/>
    <w:rsid w:val="00333DCA"/>
    <w:rsid w:val="00334195"/>
    <w:rsid w:val="00334C53"/>
    <w:rsid w:val="00347012"/>
    <w:rsid w:val="003574D3"/>
    <w:rsid w:val="00365EB8"/>
    <w:rsid w:val="00370D1E"/>
    <w:rsid w:val="00376301"/>
    <w:rsid w:val="003943B8"/>
    <w:rsid w:val="003953A5"/>
    <w:rsid w:val="003961F4"/>
    <w:rsid w:val="0039736D"/>
    <w:rsid w:val="003A3A1D"/>
    <w:rsid w:val="003A7D66"/>
    <w:rsid w:val="003C10B3"/>
    <w:rsid w:val="003E7390"/>
    <w:rsid w:val="00401A4C"/>
    <w:rsid w:val="00402ABD"/>
    <w:rsid w:val="00403A93"/>
    <w:rsid w:val="004103BD"/>
    <w:rsid w:val="00410FEF"/>
    <w:rsid w:val="00412ABE"/>
    <w:rsid w:val="00426C5A"/>
    <w:rsid w:val="0043000F"/>
    <w:rsid w:val="0043607B"/>
    <w:rsid w:val="00444547"/>
    <w:rsid w:val="0044792D"/>
    <w:rsid w:val="00450384"/>
    <w:rsid w:val="00456B5C"/>
    <w:rsid w:val="00461F80"/>
    <w:rsid w:val="00470248"/>
    <w:rsid w:val="00480886"/>
    <w:rsid w:val="004837F5"/>
    <w:rsid w:val="0048458A"/>
    <w:rsid w:val="0048552B"/>
    <w:rsid w:val="0048784C"/>
    <w:rsid w:val="00491E5D"/>
    <w:rsid w:val="00495135"/>
    <w:rsid w:val="004A6F76"/>
    <w:rsid w:val="004B3A51"/>
    <w:rsid w:val="004D7081"/>
    <w:rsid w:val="004E2884"/>
    <w:rsid w:val="004E659A"/>
    <w:rsid w:val="005019DC"/>
    <w:rsid w:val="00505A89"/>
    <w:rsid w:val="00505FAC"/>
    <w:rsid w:val="005204CC"/>
    <w:rsid w:val="00534873"/>
    <w:rsid w:val="00544E87"/>
    <w:rsid w:val="00546560"/>
    <w:rsid w:val="00553BA4"/>
    <w:rsid w:val="00553FD1"/>
    <w:rsid w:val="00556BA1"/>
    <w:rsid w:val="0056008B"/>
    <w:rsid w:val="00581481"/>
    <w:rsid w:val="0059454E"/>
    <w:rsid w:val="005966D0"/>
    <w:rsid w:val="005975E1"/>
    <w:rsid w:val="005A7023"/>
    <w:rsid w:val="005B763F"/>
    <w:rsid w:val="005D4FC4"/>
    <w:rsid w:val="005D674E"/>
    <w:rsid w:val="005E3031"/>
    <w:rsid w:val="005E313F"/>
    <w:rsid w:val="005E7049"/>
    <w:rsid w:val="005F2D6B"/>
    <w:rsid w:val="006005EA"/>
    <w:rsid w:val="00600F8A"/>
    <w:rsid w:val="006015FC"/>
    <w:rsid w:val="00611CCD"/>
    <w:rsid w:val="00613AF9"/>
    <w:rsid w:val="00616419"/>
    <w:rsid w:val="00616669"/>
    <w:rsid w:val="00626DBF"/>
    <w:rsid w:val="0062717F"/>
    <w:rsid w:val="00642E97"/>
    <w:rsid w:val="0064794D"/>
    <w:rsid w:val="006555FB"/>
    <w:rsid w:val="0066308B"/>
    <w:rsid w:val="00671FB3"/>
    <w:rsid w:val="00672F4B"/>
    <w:rsid w:val="00676DBD"/>
    <w:rsid w:val="00677948"/>
    <w:rsid w:val="006851BE"/>
    <w:rsid w:val="00695580"/>
    <w:rsid w:val="006A18C1"/>
    <w:rsid w:val="006A7602"/>
    <w:rsid w:val="006A7694"/>
    <w:rsid w:val="006B3322"/>
    <w:rsid w:val="006D2BF4"/>
    <w:rsid w:val="006F2F77"/>
    <w:rsid w:val="006F6E4E"/>
    <w:rsid w:val="007161CE"/>
    <w:rsid w:val="00735EA6"/>
    <w:rsid w:val="00736CBD"/>
    <w:rsid w:val="00744061"/>
    <w:rsid w:val="0075405D"/>
    <w:rsid w:val="007745E5"/>
    <w:rsid w:val="00790DC0"/>
    <w:rsid w:val="007958D3"/>
    <w:rsid w:val="007959FF"/>
    <w:rsid w:val="007A1CAE"/>
    <w:rsid w:val="007A45C4"/>
    <w:rsid w:val="007A4C0D"/>
    <w:rsid w:val="007B15BD"/>
    <w:rsid w:val="007B7F9E"/>
    <w:rsid w:val="007C06F7"/>
    <w:rsid w:val="007C0BDF"/>
    <w:rsid w:val="007C0CA4"/>
    <w:rsid w:val="007C1389"/>
    <w:rsid w:val="007F0FD7"/>
    <w:rsid w:val="007F139B"/>
    <w:rsid w:val="00800789"/>
    <w:rsid w:val="00803825"/>
    <w:rsid w:val="00803CDE"/>
    <w:rsid w:val="00804030"/>
    <w:rsid w:val="008059E4"/>
    <w:rsid w:val="008117DB"/>
    <w:rsid w:val="00866923"/>
    <w:rsid w:val="00871BC6"/>
    <w:rsid w:val="00877A76"/>
    <w:rsid w:val="008A4E65"/>
    <w:rsid w:val="008B4F69"/>
    <w:rsid w:val="008C29EC"/>
    <w:rsid w:val="009101B8"/>
    <w:rsid w:val="0091106E"/>
    <w:rsid w:val="00912E49"/>
    <w:rsid w:val="0091522E"/>
    <w:rsid w:val="009431CC"/>
    <w:rsid w:val="009556AF"/>
    <w:rsid w:val="009604D2"/>
    <w:rsid w:val="00971EA2"/>
    <w:rsid w:val="00991009"/>
    <w:rsid w:val="00997AA7"/>
    <w:rsid w:val="009A05E8"/>
    <w:rsid w:val="009A5567"/>
    <w:rsid w:val="009A5A83"/>
    <w:rsid w:val="009A6F7E"/>
    <w:rsid w:val="009B2D80"/>
    <w:rsid w:val="009D7C93"/>
    <w:rsid w:val="009E2196"/>
    <w:rsid w:val="00A00880"/>
    <w:rsid w:val="00A02511"/>
    <w:rsid w:val="00A03E36"/>
    <w:rsid w:val="00A066DA"/>
    <w:rsid w:val="00A11B93"/>
    <w:rsid w:val="00A15B12"/>
    <w:rsid w:val="00A275C3"/>
    <w:rsid w:val="00A30951"/>
    <w:rsid w:val="00A37C33"/>
    <w:rsid w:val="00A37D6A"/>
    <w:rsid w:val="00A47E90"/>
    <w:rsid w:val="00A614EC"/>
    <w:rsid w:val="00A723BF"/>
    <w:rsid w:val="00A75BC6"/>
    <w:rsid w:val="00A80D93"/>
    <w:rsid w:val="00A8398D"/>
    <w:rsid w:val="00A86D2F"/>
    <w:rsid w:val="00AA0CEC"/>
    <w:rsid w:val="00AA3A36"/>
    <w:rsid w:val="00AA6BCE"/>
    <w:rsid w:val="00AB1ACF"/>
    <w:rsid w:val="00AC32E6"/>
    <w:rsid w:val="00AC5CBC"/>
    <w:rsid w:val="00AC69AD"/>
    <w:rsid w:val="00AD023D"/>
    <w:rsid w:val="00AD4D44"/>
    <w:rsid w:val="00AE4ED9"/>
    <w:rsid w:val="00AE5EB8"/>
    <w:rsid w:val="00B016DC"/>
    <w:rsid w:val="00B06D5E"/>
    <w:rsid w:val="00B12FFE"/>
    <w:rsid w:val="00B2046D"/>
    <w:rsid w:val="00B20765"/>
    <w:rsid w:val="00B22805"/>
    <w:rsid w:val="00B25D46"/>
    <w:rsid w:val="00B35DBE"/>
    <w:rsid w:val="00B3650E"/>
    <w:rsid w:val="00B571CF"/>
    <w:rsid w:val="00B72841"/>
    <w:rsid w:val="00B73C17"/>
    <w:rsid w:val="00B81E6D"/>
    <w:rsid w:val="00B84560"/>
    <w:rsid w:val="00B84B7C"/>
    <w:rsid w:val="00B96314"/>
    <w:rsid w:val="00BA37D8"/>
    <w:rsid w:val="00BA4413"/>
    <w:rsid w:val="00BB527B"/>
    <w:rsid w:val="00BB5930"/>
    <w:rsid w:val="00BC472B"/>
    <w:rsid w:val="00BD6C62"/>
    <w:rsid w:val="00BE0874"/>
    <w:rsid w:val="00BE396A"/>
    <w:rsid w:val="00BE575F"/>
    <w:rsid w:val="00BF0133"/>
    <w:rsid w:val="00BF0364"/>
    <w:rsid w:val="00BF5651"/>
    <w:rsid w:val="00BF5A9A"/>
    <w:rsid w:val="00BF6A1B"/>
    <w:rsid w:val="00C02612"/>
    <w:rsid w:val="00C03EFA"/>
    <w:rsid w:val="00C04E88"/>
    <w:rsid w:val="00C2284A"/>
    <w:rsid w:val="00C22AE1"/>
    <w:rsid w:val="00C25CCB"/>
    <w:rsid w:val="00C30659"/>
    <w:rsid w:val="00C44F7C"/>
    <w:rsid w:val="00C45817"/>
    <w:rsid w:val="00C479A9"/>
    <w:rsid w:val="00C51501"/>
    <w:rsid w:val="00C551DE"/>
    <w:rsid w:val="00C66C17"/>
    <w:rsid w:val="00C96FB8"/>
    <w:rsid w:val="00C97237"/>
    <w:rsid w:val="00CA1A40"/>
    <w:rsid w:val="00CA3121"/>
    <w:rsid w:val="00CA3BDE"/>
    <w:rsid w:val="00CA3F51"/>
    <w:rsid w:val="00CB286D"/>
    <w:rsid w:val="00CB2CE2"/>
    <w:rsid w:val="00CB566C"/>
    <w:rsid w:val="00CC14BE"/>
    <w:rsid w:val="00CC61AA"/>
    <w:rsid w:val="00CE3697"/>
    <w:rsid w:val="00D073C4"/>
    <w:rsid w:val="00D121C2"/>
    <w:rsid w:val="00D1379E"/>
    <w:rsid w:val="00D16173"/>
    <w:rsid w:val="00D32A3B"/>
    <w:rsid w:val="00D435EC"/>
    <w:rsid w:val="00D61AD0"/>
    <w:rsid w:val="00D6399D"/>
    <w:rsid w:val="00D64DD2"/>
    <w:rsid w:val="00D74790"/>
    <w:rsid w:val="00D94684"/>
    <w:rsid w:val="00DA349F"/>
    <w:rsid w:val="00DB24EE"/>
    <w:rsid w:val="00DC0F6E"/>
    <w:rsid w:val="00DC288E"/>
    <w:rsid w:val="00DC389D"/>
    <w:rsid w:val="00DD3DFD"/>
    <w:rsid w:val="00DD5F7E"/>
    <w:rsid w:val="00DD7F56"/>
    <w:rsid w:val="00DE6868"/>
    <w:rsid w:val="00DF0DA6"/>
    <w:rsid w:val="00E17C7F"/>
    <w:rsid w:val="00E25024"/>
    <w:rsid w:val="00E34681"/>
    <w:rsid w:val="00E65712"/>
    <w:rsid w:val="00E67029"/>
    <w:rsid w:val="00E76F18"/>
    <w:rsid w:val="00E82BCE"/>
    <w:rsid w:val="00E83E39"/>
    <w:rsid w:val="00E8715E"/>
    <w:rsid w:val="00E92616"/>
    <w:rsid w:val="00EA33E2"/>
    <w:rsid w:val="00EA5B6B"/>
    <w:rsid w:val="00EB5E59"/>
    <w:rsid w:val="00EC5CEC"/>
    <w:rsid w:val="00ED6CAC"/>
    <w:rsid w:val="00EF0CB0"/>
    <w:rsid w:val="00EF17F8"/>
    <w:rsid w:val="00EF3940"/>
    <w:rsid w:val="00EF7C3F"/>
    <w:rsid w:val="00F044FD"/>
    <w:rsid w:val="00F04622"/>
    <w:rsid w:val="00F107BC"/>
    <w:rsid w:val="00F109AD"/>
    <w:rsid w:val="00F112D7"/>
    <w:rsid w:val="00F13E7A"/>
    <w:rsid w:val="00F2001B"/>
    <w:rsid w:val="00F26895"/>
    <w:rsid w:val="00F27ADB"/>
    <w:rsid w:val="00F27E10"/>
    <w:rsid w:val="00F368F3"/>
    <w:rsid w:val="00F42D63"/>
    <w:rsid w:val="00F44502"/>
    <w:rsid w:val="00F448AD"/>
    <w:rsid w:val="00F56B9F"/>
    <w:rsid w:val="00F56D38"/>
    <w:rsid w:val="00F65615"/>
    <w:rsid w:val="00F70150"/>
    <w:rsid w:val="00F734A9"/>
    <w:rsid w:val="00F73F2C"/>
    <w:rsid w:val="00F83ABB"/>
    <w:rsid w:val="00F84B24"/>
    <w:rsid w:val="00F87A1C"/>
    <w:rsid w:val="00F95B9C"/>
    <w:rsid w:val="00FA01FC"/>
    <w:rsid w:val="00FB094F"/>
    <w:rsid w:val="00FD6E2B"/>
    <w:rsid w:val="00FE0605"/>
    <w:rsid w:val="00FE31C9"/>
    <w:rsid w:val="00FF7497"/>
    <w:rsid w:val="0CA57E0B"/>
    <w:rsid w:val="24CF1755"/>
    <w:rsid w:val="27495DBA"/>
    <w:rsid w:val="30A42EC6"/>
    <w:rsid w:val="412156AD"/>
    <w:rsid w:val="5AB53C34"/>
    <w:rsid w:val="5D3612E5"/>
    <w:rsid w:val="65145EEA"/>
    <w:rsid w:val="779F42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EC"/>
    <w:pPr>
      <w:widowControl w:val="0"/>
      <w:spacing w:line="360" w:lineRule="auto"/>
      <w:jc w:val="both"/>
    </w:pPr>
    <w:rPr>
      <w:rFonts w:ascii="Times New Roman" w:hAnsi="Times New Roman"/>
      <w:kern w:val="2"/>
      <w:sz w:val="24"/>
      <w:szCs w:val="22"/>
    </w:rPr>
  </w:style>
  <w:style w:type="paragraph" w:styleId="1">
    <w:name w:val="heading 1"/>
    <w:basedOn w:val="a"/>
    <w:next w:val="a"/>
    <w:link w:val="1Char"/>
    <w:uiPriority w:val="9"/>
    <w:qFormat/>
    <w:rsid w:val="00AA0CEC"/>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uiPriority w:val="9"/>
    <w:unhideWhenUsed/>
    <w:qFormat/>
    <w:rsid w:val="00AA0CEC"/>
    <w:pPr>
      <w:keepNext/>
      <w:keepLines/>
      <w:spacing w:before="260" w:after="260"/>
      <w:ind w:firstLineChars="200" w:firstLine="200"/>
      <w:jc w:val="left"/>
      <w:outlineLvl w:val="1"/>
    </w:pPr>
    <w:rPr>
      <w:rFonts w:asciiTheme="majorHAnsi" w:eastAsia="黑体" w:hAnsiTheme="majorHAnsi" w:cstheme="majorBidi"/>
      <w:b/>
      <w:bCs/>
      <w:sz w:val="30"/>
      <w:szCs w:val="32"/>
    </w:rPr>
  </w:style>
  <w:style w:type="paragraph" w:styleId="3">
    <w:name w:val="heading 3"/>
    <w:basedOn w:val="a"/>
    <w:next w:val="a"/>
    <w:link w:val="3Char"/>
    <w:uiPriority w:val="9"/>
    <w:unhideWhenUsed/>
    <w:qFormat/>
    <w:rsid w:val="00AA0CEC"/>
    <w:pPr>
      <w:keepNext/>
      <w:keepLines/>
      <w:spacing w:before="260" w:after="260"/>
      <w:ind w:firstLineChars="200" w:firstLine="200"/>
      <w:jc w:val="left"/>
      <w:outlineLvl w:val="2"/>
    </w:pPr>
    <w:rPr>
      <w:rFonts w:eastAsia="楷体"/>
      <w:b/>
      <w:bCs/>
      <w:sz w:val="28"/>
      <w:szCs w:val="32"/>
    </w:rPr>
  </w:style>
  <w:style w:type="paragraph" w:styleId="4">
    <w:name w:val="heading 4"/>
    <w:basedOn w:val="a"/>
    <w:next w:val="a"/>
    <w:link w:val="4Char"/>
    <w:uiPriority w:val="9"/>
    <w:unhideWhenUsed/>
    <w:qFormat/>
    <w:rsid w:val="00AA0CEC"/>
    <w:pPr>
      <w:keepNext/>
      <w:keepLines/>
      <w:spacing w:before="280" w:after="290"/>
      <w:ind w:firstLineChars="200" w:firstLine="200"/>
      <w:jc w:val="left"/>
      <w:outlineLvl w:val="3"/>
    </w:pPr>
    <w:rPr>
      <w:rFonts w:asciiTheme="majorHAnsi" w:eastAsia="楷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AA0CEC"/>
    <w:rPr>
      <w:rFonts w:ascii="宋体" w:eastAsia="宋体"/>
      <w:sz w:val="18"/>
      <w:szCs w:val="18"/>
    </w:rPr>
  </w:style>
  <w:style w:type="paragraph" w:styleId="30">
    <w:name w:val="toc 3"/>
    <w:basedOn w:val="a"/>
    <w:next w:val="a"/>
    <w:uiPriority w:val="39"/>
    <w:unhideWhenUsed/>
    <w:qFormat/>
    <w:rsid w:val="00AA0CEC"/>
    <w:pPr>
      <w:ind w:leftChars="400" w:left="840"/>
    </w:pPr>
  </w:style>
  <w:style w:type="paragraph" w:styleId="a4">
    <w:name w:val="Balloon Text"/>
    <w:basedOn w:val="a"/>
    <w:link w:val="Char0"/>
    <w:uiPriority w:val="99"/>
    <w:unhideWhenUsed/>
    <w:qFormat/>
    <w:rsid w:val="00AA0CEC"/>
    <w:pPr>
      <w:spacing w:line="240" w:lineRule="auto"/>
    </w:pPr>
    <w:rPr>
      <w:sz w:val="18"/>
      <w:szCs w:val="18"/>
    </w:rPr>
  </w:style>
  <w:style w:type="paragraph" w:styleId="a5">
    <w:name w:val="footer"/>
    <w:basedOn w:val="a"/>
    <w:link w:val="Char1"/>
    <w:uiPriority w:val="99"/>
    <w:unhideWhenUsed/>
    <w:qFormat/>
    <w:rsid w:val="00AA0CE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A0CE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A0CEC"/>
  </w:style>
  <w:style w:type="paragraph" w:styleId="20">
    <w:name w:val="toc 2"/>
    <w:basedOn w:val="a"/>
    <w:next w:val="a"/>
    <w:uiPriority w:val="39"/>
    <w:unhideWhenUsed/>
    <w:qFormat/>
    <w:rsid w:val="00AA0CEC"/>
    <w:pPr>
      <w:ind w:leftChars="200" w:left="420"/>
    </w:pPr>
  </w:style>
  <w:style w:type="paragraph" w:styleId="a7">
    <w:name w:val="Normal (Web)"/>
    <w:basedOn w:val="a"/>
    <w:uiPriority w:val="99"/>
    <w:unhideWhenUsed/>
    <w:qFormat/>
    <w:rsid w:val="00AA0CEC"/>
    <w:pPr>
      <w:widowControl/>
      <w:spacing w:before="100" w:beforeAutospacing="1" w:after="100" w:afterAutospacing="1"/>
      <w:jc w:val="left"/>
    </w:pPr>
    <w:rPr>
      <w:rFonts w:ascii="宋体" w:eastAsia="宋体" w:hAnsi="宋体" w:cs="宋体"/>
      <w:kern w:val="0"/>
      <w:szCs w:val="24"/>
    </w:rPr>
  </w:style>
  <w:style w:type="character" w:styleId="a8">
    <w:name w:val="Hyperlink"/>
    <w:basedOn w:val="a0"/>
    <w:uiPriority w:val="99"/>
    <w:unhideWhenUsed/>
    <w:qFormat/>
    <w:rsid w:val="00AA0CEC"/>
    <w:rPr>
      <w:color w:val="0000FF" w:themeColor="hyperlink"/>
      <w:u w:val="single"/>
    </w:rPr>
  </w:style>
  <w:style w:type="table" w:styleId="a9">
    <w:name w:val="Table Grid"/>
    <w:basedOn w:val="a1"/>
    <w:uiPriority w:val="59"/>
    <w:qFormat/>
    <w:rsid w:val="00AA0C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ader-word-layer">
    <w:name w:val="reader-word-layer"/>
    <w:basedOn w:val="a"/>
    <w:qFormat/>
    <w:rsid w:val="00AA0CEC"/>
    <w:pPr>
      <w:widowControl/>
      <w:spacing w:before="100" w:beforeAutospacing="1" w:after="100" w:afterAutospacing="1"/>
      <w:jc w:val="left"/>
    </w:pPr>
    <w:rPr>
      <w:rFonts w:ascii="宋体" w:eastAsia="宋体" w:hAnsi="宋体" w:cs="宋体"/>
      <w:kern w:val="0"/>
      <w:szCs w:val="24"/>
    </w:rPr>
  </w:style>
  <w:style w:type="character" w:customStyle="1" w:styleId="2Char">
    <w:name w:val="标题 2 Char"/>
    <w:basedOn w:val="a0"/>
    <w:link w:val="2"/>
    <w:uiPriority w:val="9"/>
    <w:qFormat/>
    <w:rsid w:val="00AA0CEC"/>
    <w:rPr>
      <w:rFonts w:asciiTheme="majorHAnsi" w:eastAsia="黑体" w:hAnsiTheme="majorHAnsi" w:cstheme="majorBidi"/>
      <w:b/>
      <w:bCs/>
      <w:sz w:val="30"/>
      <w:szCs w:val="32"/>
    </w:rPr>
  </w:style>
  <w:style w:type="character" w:customStyle="1" w:styleId="3Char">
    <w:name w:val="标题 3 Char"/>
    <w:basedOn w:val="a0"/>
    <w:link w:val="3"/>
    <w:uiPriority w:val="9"/>
    <w:qFormat/>
    <w:rsid w:val="00AA0CEC"/>
    <w:rPr>
      <w:rFonts w:ascii="Times New Roman" w:eastAsia="楷体" w:hAnsi="Times New Roman"/>
      <w:b/>
      <w:bCs/>
      <w:sz w:val="28"/>
      <w:szCs w:val="32"/>
    </w:rPr>
  </w:style>
  <w:style w:type="character" w:customStyle="1" w:styleId="Char">
    <w:name w:val="文档结构图 Char"/>
    <w:basedOn w:val="a0"/>
    <w:link w:val="a3"/>
    <w:uiPriority w:val="99"/>
    <w:semiHidden/>
    <w:qFormat/>
    <w:rsid w:val="00AA0CEC"/>
    <w:rPr>
      <w:rFonts w:ascii="宋体" w:eastAsia="宋体"/>
      <w:sz w:val="18"/>
      <w:szCs w:val="18"/>
    </w:rPr>
  </w:style>
  <w:style w:type="character" w:customStyle="1" w:styleId="1Char">
    <w:name w:val="标题 1 Char"/>
    <w:basedOn w:val="a0"/>
    <w:link w:val="1"/>
    <w:uiPriority w:val="9"/>
    <w:qFormat/>
    <w:rsid w:val="00AA0CEC"/>
    <w:rPr>
      <w:rFonts w:ascii="Times New Roman" w:eastAsia="黑体" w:hAnsi="Times New Roman"/>
      <w:b/>
      <w:bCs/>
      <w:kern w:val="44"/>
      <w:sz w:val="32"/>
      <w:szCs w:val="44"/>
    </w:rPr>
  </w:style>
  <w:style w:type="character" w:customStyle="1" w:styleId="Char2">
    <w:name w:val="页眉 Char"/>
    <w:basedOn w:val="a0"/>
    <w:link w:val="a6"/>
    <w:uiPriority w:val="99"/>
    <w:semiHidden/>
    <w:qFormat/>
    <w:rsid w:val="00AA0CEC"/>
    <w:rPr>
      <w:sz w:val="18"/>
      <w:szCs w:val="18"/>
    </w:rPr>
  </w:style>
  <w:style w:type="character" w:customStyle="1" w:styleId="Char1">
    <w:name w:val="页脚 Char"/>
    <w:basedOn w:val="a0"/>
    <w:link w:val="a5"/>
    <w:uiPriority w:val="99"/>
    <w:qFormat/>
    <w:rsid w:val="00AA0CEC"/>
    <w:rPr>
      <w:sz w:val="18"/>
      <w:szCs w:val="18"/>
    </w:rPr>
  </w:style>
  <w:style w:type="paragraph" w:customStyle="1" w:styleId="11">
    <w:name w:val="列出段落1"/>
    <w:basedOn w:val="a"/>
    <w:uiPriority w:val="34"/>
    <w:qFormat/>
    <w:rsid w:val="00AA0CEC"/>
    <w:pPr>
      <w:ind w:firstLineChars="200" w:firstLine="420"/>
    </w:pPr>
  </w:style>
  <w:style w:type="character" w:customStyle="1" w:styleId="4Char">
    <w:name w:val="标题 4 Char"/>
    <w:basedOn w:val="a0"/>
    <w:link w:val="4"/>
    <w:uiPriority w:val="9"/>
    <w:qFormat/>
    <w:rsid w:val="00AA0CEC"/>
    <w:rPr>
      <w:rFonts w:asciiTheme="majorHAnsi" w:eastAsia="楷体" w:hAnsiTheme="majorHAnsi" w:cstheme="majorBidi"/>
      <w:b/>
      <w:bCs/>
      <w:sz w:val="24"/>
      <w:szCs w:val="28"/>
    </w:rPr>
  </w:style>
  <w:style w:type="paragraph" w:customStyle="1" w:styleId="110">
    <w:name w:val="列出段落11"/>
    <w:basedOn w:val="a"/>
    <w:qFormat/>
    <w:rsid w:val="00AA0CEC"/>
    <w:pPr>
      <w:widowControl/>
      <w:spacing w:line="240" w:lineRule="auto"/>
      <w:ind w:left="720" w:firstLine="360"/>
      <w:contextualSpacing/>
      <w:jc w:val="left"/>
    </w:pPr>
    <w:rPr>
      <w:rFonts w:ascii="Calibri" w:eastAsia="宋体" w:hAnsi="Calibri" w:cs="Times New Roman"/>
      <w:kern w:val="0"/>
      <w:sz w:val="22"/>
      <w:lang w:eastAsia="en-US"/>
    </w:rPr>
  </w:style>
  <w:style w:type="character" w:customStyle="1" w:styleId="Char0">
    <w:name w:val="批注框文本 Char"/>
    <w:basedOn w:val="a0"/>
    <w:link w:val="a4"/>
    <w:uiPriority w:val="99"/>
    <w:semiHidden/>
    <w:qFormat/>
    <w:rsid w:val="00AA0CEC"/>
    <w:rPr>
      <w:rFonts w:ascii="Times New Roman" w:hAnsi="Times New Roman"/>
      <w:sz w:val="18"/>
      <w:szCs w:val="18"/>
    </w:rPr>
  </w:style>
  <w:style w:type="paragraph" w:customStyle="1" w:styleId="ListParagraph1">
    <w:name w:val="List Paragraph1"/>
    <w:basedOn w:val="a"/>
    <w:qFormat/>
    <w:rsid w:val="00AA0CEC"/>
    <w:pPr>
      <w:widowControl/>
      <w:spacing w:before="100" w:beforeAutospacing="1" w:after="100" w:afterAutospacing="1" w:line="240" w:lineRule="auto"/>
      <w:ind w:left="720" w:firstLine="360"/>
      <w:contextualSpacing/>
      <w:jc w:val="left"/>
    </w:pPr>
    <w:rPr>
      <w:rFonts w:ascii="Calibri" w:eastAsia="宋体" w:hAnsi="Calibri" w:cs="Calibri"/>
      <w:kern w:val="0"/>
      <w:sz w:val="22"/>
    </w:rPr>
  </w:style>
  <w:style w:type="paragraph" w:styleId="aa">
    <w:name w:val="List Paragraph"/>
    <w:basedOn w:val="a"/>
    <w:uiPriority w:val="99"/>
    <w:unhideWhenUsed/>
    <w:rsid w:val="006015FC"/>
    <w:pPr>
      <w:ind w:firstLineChars="200" w:firstLine="420"/>
    </w:pPr>
  </w:style>
</w:styles>
</file>

<file path=word/webSettings.xml><?xml version="1.0" encoding="utf-8"?>
<w:webSettings xmlns:r="http://schemas.openxmlformats.org/officeDocument/2006/relationships" xmlns:w="http://schemas.openxmlformats.org/wordprocessingml/2006/main">
  <w:divs>
    <w:div w:id="167564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2131152.htm" TargetMode="External"/><Relationship Id="rId18" Type="http://schemas.openxmlformats.org/officeDocument/2006/relationships/hyperlink" Target="http://baike.baidu.com/view/14226.htm" TargetMode="External"/><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image" Target="media/image2.wmf"/><Relationship Id="rId34"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baike.baidu.com/view/1904129.htm" TargetMode="External"/><Relationship Id="rId17" Type="http://schemas.openxmlformats.org/officeDocument/2006/relationships/hyperlink" Target="http://baike.baidu.com/view/310405.htm" TargetMode="External"/><Relationship Id="rId25" Type="http://schemas.openxmlformats.org/officeDocument/2006/relationships/image" Target="media/image4.wmf"/><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aike.baidu.com/view/1860584.htm" TargetMode="External"/><Relationship Id="rId20" Type="http://schemas.openxmlformats.org/officeDocument/2006/relationships/oleObject" Target="embeddings/oleObject1.bin"/><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ike.baidu.com/view/303441.htm"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baike.baidu.com/view/229722.htm"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E0623-D73F-431F-BD18-4BB9FBA8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34</Pages>
  <Words>3043</Words>
  <Characters>17350</Characters>
  <Application>Microsoft Office Word</Application>
  <DocSecurity>0</DocSecurity>
  <Lines>144</Lines>
  <Paragraphs>40</Paragraphs>
  <ScaleCrop>false</ScaleCrop>
  <Company>Microsoft</Company>
  <LinksUpToDate>false</LinksUpToDate>
  <CharactersWithSpaces>20353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Administrator</cp:lastModifiedBy>
  <cp:revision>242</cp:revision>
  <cp:lastPrinted>2016-07-08T03:05:00Z</cp:lastPrinted>
  <dcterms:created xsi:type="dcterms:W3CDTF">2016-05-08T12:36:00Z</dcterms:created>
  <dcterms:modified xsi:type="dcterms:W3CDTF">2016-11-10T11:08:00Z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