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sz w:val="28"/>
        </w:rPr>
      </w:pPr>
      <w:r>
        <w:rPr>
          <w:rFonts w:hint="eastAsia" w:ascii="宋体" w:hAnsi="宋体"/>
          <w:color w:val="auto"/>
          <w:sz w:val="28"/>
        </w:rPr>
        <w:t>附件一：资格审查条件</w:t>
      </w:r>
    </w:p>
    <w:p>
      <w:pPr>
        <w:rPr>
          <w:rFonts w:hint="eastAsia" w:ascii="宋体" w:hAnsi="宋体"/>
          <w:color w:val="auto"/>
          <w:sz w:val="28"/>
        </w:rPr>
      </w:pPr>
    </w:p>
    <w:p>
      <w:pPr>
        <w:jc w:val="center"/>
        <w:rPr>
          <w:rFonts w:hint="eastAsia" w:ascii="宋体" w:hAnsi="宋体"/>
          <w:color w:val="auto"/>
          <w:sz w:val="28"/>
        </w:rPr>
      </w:pPr>
      <w:r>
        <w:rPr>
          <w:rFonts w:hint="eastAsia" w:ascii="宋体" w:hAnsi="宋体"/>
          <w:color w:val="auto"/>
          <w:sz w:val="28"/>
        </w:rPr>
        <w:t>附录 1 资格审查条件（法人资格）</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ind w:left="3800"/>
              <w:jc w:val="left"/>
              <w:rPr>
                <w:rFonts w:hint="eastAsia" w:ascii="宋体" w:hAnsi="宋体"/>
                <w:color w:val="auto"/>
                <w:sz w:val="24"/>
              </w:rPr>
            </w:pPr>
            <w:r>
              <w:rPr>
                <w:rFonts w:hint="eastAsia" w:ascii="宋体" w:hAnsi="宋体"/>
                <w:color w:val="auto"/>
                <w:sz w:val="24"/>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color w:val="auto"/>
                <w:sz w:val="24"/>
              </w:rPr>
            </w:pPr>
            <w:r>
              <w:rPr>
                <w:rFonts w:hint="eastAsia" w:ascii="宋体" w:hAnsi="宋体"/>
                <w:color w:val="auto"/>
                <w:sz w:val="24"/>
              </w:rPr>
              <w:t>在中国境内依法注册的企业法人或其他经济组织，且合法存续，没有处于被吊销营 业执照、责令关闭或者被撤销等不良状态。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如投标人为联合体，则联合体各成员均应满足上述条款的要求，且联合体成员不超过3家。</w:t>
            </w:r>
          </w:p>
        </w:tc>
      </w:tr>
    </w:tbl>
    <w:p>
      <w:pPr>
        <w:rPr>
          <w:color w:val="auto"/>
        </w:rPr>
      </w:pPr>
    </w:p>
    <w:p>
      <w:pPr>
        <w:rPr>
          <w:rFonts w:hint="eastAsia"/>
          <w:color w:val="auto"/>
        </w:rPr>
      </w:pPr>
    </w:p>
    <w:p>
      <w:pPr>
        <w:jc w:val="center"/>
        <w:rPr>
          <w:rFonts w:ascii="宋体" w:hAnsi="宋体"/>
          <w:color w:val="auto"/>
          <w:sz w:val="28"/>
        </w:rPr>
      </w:pPr>
      <w:r>
        <w:rPr>
          <w:rFonts w:hint="eastAsia" w:ascii="宋体" w:hAnsi="宋体"/>
          <w:color w:val="auto"/>
          <w:sz w:val="28"/>
        </w:rPr>
        <w:t>附录 2 资格审查条件（财务状况）</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jc w:val="center"/>
              <w:rPr>
                <w:rFonts w:hint="eastAsia"/>
                <w:color w:val="auto"/>
              </w:rPr>
            </w:pPr>
            <w:r>
              <w:rPr>
                <w:rFonts w:hint="eastAsia" w:ascii="宋体" w:hAnsi="宋体"/>
                <w:color w:val="auto"/>
                <w:sz w:val="24"/>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keepNext w:val="0"/>
              <w:keepLines w:val="0"/>
              <w:pageBreakBefore w:val="0"/>
              <w:widowControl w:val="0"/>
              <w:kinsoku/>
              <w:wordWrap/>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color w:val="auto"/>
                <w:sz w:val="24"/>
              </w:rPr>
            </w:pPr>
            <w:r>
              <w:rPr>
                <w:rFonts w:hint="eastAsia" w:ascii="宋体" w:hAnsi="宋体"/>
                <w:color w:val="auto"/>
                <w:sz w:val="24"/>
              </w:rPr>
              <w:t>1、最近一个年度（2016 年度）总资产不低于 50 亿元人民币；净资产不低于 15 亿元人民币；</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120" w:firstLine="0" w:firstLineChars="0"/>
              <w:textAlignment w:val="auto"/>
              <w:outlineLvl w:val="9"/>
              <w:rPr>
                <w:rFonts w:hint="eastAsia" w:ascii="宋体" w:hAnsi="宋体"/>
                <w:color w:val="auto"/>
                <w:sz w:val="24"/>
              </w:rPr>
            </w:pPr>
            <w:r>
              <w:rPr>
                <w:rFonts w:hint="eastAsia" w:ascii="宋体" w:hAnsi="宋体"/>
                <w:color w:val="auto"/>
                <w:sz w:val="24"/>
              </w:rPr>
              <w:t>2、近三年度每年均为盈利,近三年度的平均营业额不低于 25 亿元人民币，且年度财务报告应当具有法定资格的中介机构审计；财务状况良好，最近一个年度（2016 年度）的资产负债率小于 75%，没有处于财产被接管、冻结、破产或其他不良状态，无重大不良资产或不良投资项目。</w:t>
            </w:r>
          </w:p>
          <w:p>
            <w:pPr>
              <w:keepNext w:val="0"/>
              <w:keepLines w:val="0"/>
              <w:pageBreakBefore w:val="0"/>
              <w:widowControl w:val="0"/>
              <w:kinsoku/>
              <w:wordWrap/>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color w:val="auto"/>
                <w:sz w:val="24"/>
              </w:rPr>
            </w:pPr>
            <w:r>
              <w:rPr>
                <w:rFonts w:hint="eastAsia" w:ascii="宋体" w:hAnsi="宋体"/>
                <w:color w:val="auto"/>
                <w:sz w:val="24"/>
              </w:rPr>
              <w:t>如投标人为联合体，则联合体牵头人应满足上述条款的要求。</w:t>
            </w:r>
          </w:p>
        </w:tc>
      </w:tr>
    </w:tbl>
    <w:p>
      <w:pPr>
        <w:spacing w:line="480" w:lineRule="auto"/>
        <w:jc w:val="left"/>
        <w:rPr>
          <w:rFonts w:hint="eastAsia" w:ascii="宋体" w:hAnsi="宋体"/>
          <w:color w:val="auto"/>
          <w:sz w:val="24"/>
        </w:rPr>
      </w:pPr>
      <w:r>
        <w:rPr>
          <w:rFonts w:hint="eastAsia" w:ascii="宋体" w:hAnsi="宋体"/>
          <w:color w:val="auto"/>
          <w:sz w:val="24"/>
        </w:rPr>
        <w:t>注：1. 投标文件依照本表填报的财务状况须按“投标人须知”第 3.4.3 项规定提交资格审查资料。</w:t>
      </w:r>
    </w:p>
    <w:p>
      <w:pPr>
        <w:spacing w:line="480" w:lineRule="auto"/>
        <w:ind w:left="420"/>
        <w:jc w:val="left"/>
        <w:rPr>
          <w:rFonts w:ascii="宋体" w:hAnsi="宋体"/>
          <w:color w:val="auto"/>
          <w:sz w:val="24"/>
        </w:rPr>
      </w:pPr>
      <w:r>
        <w:rPr>
          <w:rFonts w:hint="eastAsia" w:ascii="宋体" w:hAnsi="宋体"/>
          <w:color w:val="auto"/>
          <w:sz w:val="24"/>
        </w:rPr>
        <w:t>2. 近三年度指 2014 年、2015 年、2016 年。</w:t>
      </w:r>
    </w:p>
    <w:p>
      <w:pPr>
        <w:spacing w:line="480" w:lineRule="auto"/>
        <w:ind w:left="420"/>
        <w:jc w:val="left"/>
        <w:rPr>
          <w:rFonts w:ascii="宋体" w:hAnsi="宋体"/>
          <w:color w:val="auto"/>
          <w:sz w:val="24"/>
        </w:rPr>
      </w:pPr>
    </w:p>
    <w:p>
      <w:pPr>
        <w:spacing w:line="480" w:lineRule="auto"/>
        <w:ind w:left="420"/>
        <w:jc w:val="left"/>
        <w:rPr>
          <w:rFonts w:ascii="宋体" w:hAnsi="宋体"/>
          <w:color w:val="auto"/>
          <w:sz w:val="24"/>
        </w:rPr>
      </w:pPr>
    </w:p>
    <w:p>
      <w:pPr>
        <w:spacing w:line="480" w:lineRule="auto"/>
        <w:ind w:left="420"/>
        <w:jc w:val="left"/>
        <w:rPr>
          <w:rFonts w:ascii="宋体" w:hAnsi="宋体"/>
          <w:color w:val="auto"/>
          <w:sz w:val="24"/>
        </w:rPr>
      </w:pPr>
    </w:p>
    <w:p>
      <w:pPr>
        <w:spacing w:line="480" w:lineRule="auto"/>
        <w:ind w:left="420"/>
        <w:jc w:val="left"/>
        <w:rPr>
          <w:rFonts w:ascii="宋体" w:hAnsi="宋体"/>
          <w:color w:val="auto"/>
          <w:sz w:val="24"/>
        </w:rPr>
      </w:pPr>
    </w:p>
    <w:p>
      <w:pPr>
        <w:spacing w:line="480" w:lineRule="auto"/>
        <w:ind w:left="420"/>
        <w:jc w:val="center"/>
        <w:rPr>
          <w:rFonts w:hint="eastAsia" w:ascii="宋体" w:hAnsi="宋体"/>
          <w:color w:val="auto"/>
          <w:sz w:val="24"/>
        </w:rPr>
      </w:pPr>
      <w:r>
        <w:rPr>
          <w:rFonts w:hint="eastAsia" w:ascii="宋体" w:hAnsi="宋体"/>
          <w:color w:val="auto"/>
          <w:sz w:val="28"/>
        </w:rPr>
        <w:t>附录 3 资格审查条件（投融资能力）</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80" w:lineRule="auto"/>
              <w:jc w:val="center"/>
              <w:rPr>
                <w:rFonts w:hint="eastAsia" w:ascii="宋体" w:hAnsi="宋体"/>
                <w:color w:val="auto"/>
                <w:sz w:val="24"/>
              </w:rPr>
            </w:pPr>
            <w:r>
              <w:rPr>
                <w:rFonts w:hint="eastAsia" w:ascii="宋体" w:hAnsi="宋体"/>
                <w:color w:val="auto"/>
                <w:sz w:val="24"/>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1、具有不低于 10 亿元人民币的自有资金；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2、具有不低于 60 亿元人民币的融资能力。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如投标人为联合体，则</w:t>
            </w:r>
            <w:r>
              <w:rPr>
                <w:rFonts w:hint="eastAsia" w:ascii="宋体" w:hAnsi="宋体"/>
                <w:color w:val="auto"/>
                <w:sz w:val="24"/>
              </w:rPr>
              <w:t>联合体牵头人</w:t>
            </w:r>
            <w:r>
              <w:rPr>
                <w:rFonts w:hint="eastAsia" w:ascii="宋体" w:hAnsi="宋体"/>
                <w:color w:val="auto"/>
                <w:sz w:val="24"/>
              </w:rPr>
              <w:t>应满足上述条款的要求。</w:t>
            </w:r>
          </w:p>
        </w:tc>
      </w:tr>
    </w:tbl>
    <w:p>
      <w:pPr>
        <w:spacing w:line="480" w:lineRule="auto"/>
        <w:jc w:val="left"/>
        <w:rPr>
          <w:rFonts w:ascii="宋体" w:hAnsi="宋体"/>
          <w:color w:val="auto"/>
          <w:sz w:val="24"/>
        </w:rPr>
      </w:pPr>
      <w:r>
        <w:rPr>
          <w:rFonts w:hint="eastAsia" w:ascii="宋体" w:hAnsi="宋体"/>
          <w:color w:val="auto"/>
          <w:sz w:val="24"/>
        </w:rPr>
        <w:t>注：投标文件依照本表填报的投融资能力须按“投标人须知”第 3.4.4 项规定提交资格审查资料。</w:t>
      </w:r>
    </w:p>
    <w:p>
      <w:pPr>
        <w:spacing w:line="480" w:lineRule="auto"/>
        <w:jc w:val="left"/>
        <w:rPr>
          <w:rFonts w:hint="eastAsia" w:ascii="宋体" w:hAnsi="宋体"/>
          <w:color w:val="auto"/>
          <w:sz w:val="24"/>
        </w:rPr>
      </w:pPr>
    </w:p>
    <w:p>
      <w:pPr>
        <w:spacing w:line="480" w:lineRule="auto"/>
        <w:ind w:left="420"/>
        <w:jc w:val="center"/>
        <w:rPr>
          <w:rFonts w:ascii="宋体" w:hAnsi="宋体"/>
          <w:color w:val="auto"/>
          <w:sz w:val="28"/>
        </w:rPr>
      </w:pPr>
      <w:r>
        <w:rPr>
          <w:rFonts w:hint="eastAsia" w:ascii="宋体" w:hAnsi="宋体"/>
          <w:color w:val="auto"/>
          <w:sz w:val="28"/>
        </w:rPr>
        <w:t>附录 4 资格审查条件（商业信誉）</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80" w:lineRule="auto"/>
              <w:jc w:val="center"/>
              <w:rPr>
                <w:rFonts w:hint="eastAsia" w:ascii="宋体" w:hAnsi="宋体"/>
                <w:color w:val="auto"/>
                <w:sz w:val="24"/>
              </w:rPr>
            </w:pPr>
            <w:r>
              <w:rPr>
                <w:rFonts w:hint="eastAsia" w:ascii="宋体" w:hAnsi="宋体"/>
                <w:color w:val="auto"/>
                <w:sz w:val="24"/>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olor w:val="auto"/>
                <w:sz w:val="24"/>
              </w:rPr>
            </w:pPr>
            <w:r>
              <w:rPr>
                <w:rFonts w:hint="eastAsia" w:ascii="宋体" w:hAnsi="宋体"/>
                <w:color w:val="auto"/>
                <w:sz w:val="24"/>
              </w:rPr>
              <w:t>1、商业信誉良好，在经营活动中无重大违法行为，近三年财务会计资料无虚假记载、银行和税务信用评价系统或企业信用系统中无严重违法记录；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2、未被省级及以上交通运输行政主管部门取消招标资格或禁止进入该区域公路建设市场且处罚未满。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如投标人为联合体，联合体各成员均应满足上述条款的要求。</w:t>
            </w:r>
          </w:p>
        </w:tc>
      </w:tr>
    </w:tbl>
    <w:p>
      <w:pPr>
        <w:spacing w:line="355" w:lineRule="exact"/>
        <w:jc w:val="left"/>
        <w:rPr>
          <w:rFonts w:ascii="宋体" w:hAnsi="宋体"/>
          <w:color w:val="auto"/>
          <w:sz w:val="24"/>
        </w:rPr>
      </w:pPr>
    </w:p>
    <w:p>
      <w:pPr>
        <w:spacing w:line="355" w:lineRule="exact"/>
        <w:jc w:val="left"/>
        <w:rPr>
          <w:rFonts w:hint="eastAsia" w:ascii="宋体" w:hAnsi="宋体"/>
          <w:color w:val="auto"/>
          <w:sz w:val="24"/>
        </w:rPr>
      </w:pPr>
    </w:p>
    <w:p>
      <w:pPr>
        <w:spacing w:line="480" w:lineRule="auto"/>
        <w:jc w:val="center"/>
        <w:rPr>
          <w:rFonts w:ascii="宋体" w:hAnsi="宋体"/>
          <w:color w:val="auto"/>
          <w:sz w:val="28"/>
        </w:rPr>
      </w:pPr>
      <w:r>
        <w:rPr>
          <w:rFonts w:hint="eastAsia" w:ascii="宋体" w:hAnsi="宋体"/>
          <w:color w:val="auto"/>
          <w:sz w:val="28"/>
        </w:rPr>
        <w:t>附录 5 资格审查条件（资质）</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ind w:left="3820"/>
              <w:jc w:val="left"/>
              <w:rPr>
                <w:rFonts w:hint="eastAsia" w:ascii="宋体" w:hAnsi="宋体"/>
                <w:color w:val="auto"/>
                <w:sz w:val="24"/>
              </w:rPr>
            </w:pPr>
            <w:r>
              <w:rPr>
                <w:rFonts w:hint="eastAsia" w:ascii="宋体" w:hAnsi="宋体"/>
                <w:color w:val="auto"/>
                <w:sz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olor w:val="auto"/>
                <w:sz w:val="24"/>
              </w:rPr>
            </w:pPr>
            <w:r>
              <w:rPr>
                <w:rFonts w:hint="eastAsia" w:ascii="宋体" w:hAnsi="宋体"/>
                <w:color w:val="auto"/>
                <w:sz w:val="24"/>
              </w:rPr>
              <w:t>同时具备建设行政主管部门颁发的：</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olor w:val="auto"/>
                <w:sz w:val="24"/>
              </w:rPr>
            </w:pPr>
            <w:r>
              <w:rPr>
                <w:rFonts w:hint="eastAsia" w:ascii="宋体" w:hAnsi="宋体"/>
                <w:color w:val="auto"/>
                <w:sz w:val="24"/>
              </w:rPr>
              <w:t>1、公路工程施工总承包壹级及以上企业资质；</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2、施工单位具有建筑施工企业安全生产许可证；</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如投标人为联合体，应满足下列资格条件： 承担相应工作的联合体各成员必须具有与拟承担的工作相适应的资质，使联合体总体上满足上述条款的要求；由同一专业的单位组成的联合体，按照资质等级较低的单位确定资质等级。</w:t>
            </w:r>
          </w:p>
        </w:tc>
      </w:tr>
    </w:tbl>
    <w:p>
      <w:pPr>
        <w:spacing w:line="480" w:lineRule="auto"/>
        <w:jc w:val="left"/>
        <w:rPr>
          <w:rFonts w:hint="eastAsia" w:ascii="宋体" w:hAnsi="宋体"/>
          <w:color w:val="auto"/>
          <w:sz w:val="24"/>
        </w:rPr>
      </w:pPr>
      <w:r>
        <w:rPr>
          <w:rFonts w:hint="eastAsia" w:ascii="宋体" w:hAnsi="宋体"/>
          <w:color w:val="auto"/>
          <w:sz w:val="24"/>
        </w:rPr>
        <w:t>注：投标文件依照本表填报的资质须按“投标人须知”第 3.4.2 项规定提交资格审查资料。</w:t>
      </w:r>
    </w:p>
    <w:p>
      <w:pPr>
        <w:jc w:val="center"/>
        <w:rPr>
          <w:rFonts w:ascii="宋体" w:hAnsi="宋体"/>
          <w:color w:val="auto"/>
          <w:sz w:val="28"/>
        </w:rPr>
      </w:pPr>
      <w:bookmarkStart w:id="0" w:name="_GoBack"/>
      <w:bookmarkEnd w:id="0"/>
      <w:r>
        <w:rPr>
          <w:rFonts w:hint="eastAsia" w:ascii="宋体" w:hAnsi="宋体"/>
          <w:color w:val="auto"/>
          <w:sz w:val="28"/>
        </w:rPr>
        <w:t>附录 6 资格审查条件（业绩）</w:t>
      </w:r>
    </w:p>
    <w:tbl>
      <w:tblPr>
        <w:tblStyle w:val="6"/>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4" w:type="dxa"/>
            <w:gridSpan w:val="2"/>
          </w:tcPr>
          <w:p>
            <w:pPr>
              <w:jc w:val="center"/>
              <w:rPr>
                <w:rFonts w:hint="eastAsia" w:ascii="宋体" w:hAnsi="宋体"/>
                <w:color w:val="auto"/>
                <w:sz w:val="24"/>
              </w:rPr>
            </w:pPr>
            <w:r>
              <w:rPr>
                <w:rFonts w:hint="eastAsia" w:ascii="宋体" w:hAnsi="宋体"/>
                <w:color w:val="auto"/>
                <w:sz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jc w:val="center"/>
              <w:rPr>
                <w:rFonts w:hint="eastAsia" w:ascii="宋体" w:hAnsi="宋体"/>
                <w:color w:val="auto"/>
                <w:sz w:val="24"/>
              </w:rPr>
            </w:pPr>
            <w:r>
              <w:rPr>
                <w:rFonts w:hint="eastAsia" w:ascii="宋体" w:hAnsi="宋体"/>
                <w:color w:val="auto"/>
                <w:sz w:val="24"/>
              </w:rPr>
              <w:t>投融资业绩</w:t>
            </w:r>
          </w:p>
        </w:tc>
        <w:tc>
          <w:tcPr>
            <w:tcW w:w="6838" w:type="dxa"/>
          </w:tcPr>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近五年在中国境内具有投资、建设或运营交通运输类PPP项目（一级及以上等级公路的投融资项目,单项金额不少于20亿元）的</w:t>
            </w:r>
            <w:r>
              <w:rPr>
                <w:rFonts w:hint="eastAsia" w:ascii="宋体" w:hAnsi="宋体"/>
                <w:color w:val="auto"/>
                <w:sz w:val="24"/>
              </w:rPr>
              <w:t>1</w:t>
            </w:r>
            <w:r>
              <w:rPr>
                <w:rFonts w:hint="eastAsia" w:ascii="宋体" w:hAnsi="宋体"/>
                <w:color w:val="auto"/>
                <w:sz w:val="24"/>
              </w:rPr>
              <w:t>个业绩（</w:t>
            </w:r>
            <w:r>
              <w:rPr>
                <w:rFonts w:hint="eastAsia" w:ascii="宋体" w:hAnsi="宋体"/>
                <w:color w:val="auto"/>
                <w:sz w:val="24"/>
              </w:rPr>
              <w:t>若为联合体投标的，由联合体牵头人提交业绩材料</w:t>
            </w:r>
            <w:r>
              <w:rPr>
                <w:rFonts w:hint="eastAsia" w:ascii="宋体" w:hAnsi="宋体"/>
                <w:color w:val="auto"/>
                <w:sz w:val="24"/>
              </w:rPr>
              <w:t>）。</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投资额以项目总投资额乘以其投资项目出资比例计算。如投标人为联合体，则联合体牵头人应满足上述条款的要求。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jc w:val="center"/>
              <w:rPr>
                <w:rFonts w:hint="eastAsia"/>
                <w:color w:val="auto"/>
                <w:sz w:val="24"/>
                <w:szCs w:val="24"/>
              </w:rPr>
            </w:pPr>
            <w:r>
              <w:rPr>
                <w:rFonts w:hint="eastAsia"/>
                <w:color w:val="auto"/>
                <w:sz w:val="24"/>
                <w:szCs w:val="24"/>
              </w:rPr>
              <w:t>施工业绩</w:t>
            </w:r>
          </w:p>
        </w:tc>
        <w:tc>
          <w:tcPr>
            <w:tcW w:w="6838" w:type="dxa"/>
          </w:tcPr>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olor w:val="auto"/>
                <w:sz w:val="24"/>
              </w:rPr>
            </w:pPr>
            <w:r>
              <w:rPr>
                <w:rFonts w:hint="eastAsia" w:ascii="宋体" w:hAnsi="宋体"/>
                <w:color w:val="auto"/>
                <w:sz w:val="24"/>
              </w:rPr>
              <w:t>近五年内的项目，同时满足下列要求：</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olor w:val="auto"/>
                <w:sz w:val="24"/>
              </w:rPr>
            </w:pPr>
            <w:r>
              <w:rPr>
                <w:rFonts w:hint="eastAsia" w:ascii="宋体" w:hAnsi="宋体"/>
                <w:color w:val="auto"/>
                <w:sz w:val="24"/>
              </w:rPr>
              <w:t>1、独立成功完成过1个里程长度不少于10公里的新建高速公路路基工程施工任务；</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olor w:val="auto"/>
                <w:sz w:val="24"/>
              </w:rPr>
            </w:pPr>
            <w:r>
              <w:rPr>
                <w:rFonts w:hint="eastAsia" w:ascii="宋体" w:hAnsi="宋体"/>
                <w:color w:val="auto"/>
                <w:sz w:val="24"/>
              </w:rPr>
              <w:t>2、独立成功完成过1个里程长度不少于40公里的新建高速公路路面工程施工任务。</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olor w:val="auto"/>
                <w:sz w:val="24"/>
              </w:rPr>
            </w:pPr>
            <w:r>
              <w:rPr>
                <w:rFonts w:hint="eastAsia" w:ascii="宋体" w:hAnsi="宋体"/>
                <w:color w:val="auto"/>
                <w:sz w:val="24"/>
              </w:rPr>
              <w:t>如投标人为联合体，则承担施工任务的联合体成员应达到上述条款的要求。若某项施工业绩均满足上述路基及路面业绩要求，则同时认定该项目的路基及路面业绩。</w:t>
            </w:r>
          </w:p>
        </w:tc>
      </w:tr>
    </w:tbl>
    <w:p>
      <w:pPr>
        <w:rPr>
          <w:rFonts w:hint="eastAsia" w:ascii="宋体" w:hAnsi="宋体"/>
          <w:color w:val="auto"/>
          <w:sz w:val="24"/>
        </w:rPr>
      </w:pPr>
      <w:r>
        <w:rPr>
          <w:rFonts w:hint="eastAsia" w:ascii="宋体" w:hAnsi="宋体"/>
          <w:color w:val="auto"/>
          <w:sz w:val="24"/>
        </w:rPr>
        <w:t>注：“近五年”指 2012 年 1 月 1 日至投标文件递交截止时间。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11"/>
    <w:rsid w:val="003A6FDE"/>
    <w:rsid w:val="0053346B"/>
    <w:rsid w:val="005676A8"/>
    <w:rsid w:val="00B2418F"/>
    <w:rsid w:val="00C35B73"/>
    <w:rsid w:val="00C95F11"/>
    <w:rsid w:val="00F27A00"/>
    <w:rsid w:val="097A024C"/>
    <w:rsid w:val="67B2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206</Words>
  <Characters>1179</Characters>
  <Lines>9</Lines>
  <Paragraphs>2</Paragraphs>
  <ScaleCrop>false</ScaleCrop>
  <LinksUpToDate>false</LinksUpToDate>
  <CharactersWithSpaces>1383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2017-11-04T10:03:00Z</dcterms:created>
  <dc:creator>郭若言</dc:creator>
  <cp:lastModifiedBy>老铁</cp:lastModifiedBy>
  <dcterms:modified xsi:type="dcterms:W3CDTF">2017-11-05T11:39:06Z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