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24" w:rsidRPr="00792FFD" w:rsidRDefault="007A3B24" w:rsidP="007A3B24">
      <w:pPr>
        <w:jc w:val="center"/>
        <w:rPr>
          <w:b/>
          <w:color w:val="000000"/>
          <w:sz w:val="28"/>
          <w:szCs w:val="28"/>
        </w:rPr>
      </w:pPr>
      <w:r w:rsidRPr="00792FFD">
        <w:rPr>
          <w:rFonts w:hint="eastAsia"/>
          <w:b/>
          <w:color w:val="000000"/>
          <w:sz w:val="28"/>
          <w:szCs w:val="28"/>
        </w:rPr>
        <w:t>第三师麦盖提县至第十四师皮山农场公路</w:t>
      </w:r>
    </w:p>
    <w:p w:rsidR="007A3B24" w:rsidRDefault="007A3B24" w:rsidP="007A3B24">
      <w:pPr>
        <w:jc w:val="center"/>
        <w:rPr>
          <w:b/>
          <w:color w:val="000000"/>
          <w:sz w:val="28"/>
          <w:szCs w:val="28"/>
        </w:rPr>
      </w:pPr>
      <w:r w:rsidRPr="00792FFD">
        <w:rPr>
          <w:b/>
          <w:color w:val="000000"/>
          <w:sz w:val="28"/>
          <w:szCs w:val="28"/>
        </w:rPr>
        <w:t>第三师</w:t>
      </w:r>
      <w:r w:rsidRPr="00792FFD">
        <w:rPr>
          <w:b/>
          <w:color w:val="000000"/>
          <w:sz w:val="28"/>
          <w:szCs w:val="28"/>
        </w:rPr>
        <w:t>53</w:t>
      </w:r>
      <w:r w:rsidRPr="00792FFD">
        <w:rPr>
          <w:b/>
          <w:color w:val="000000"/>
          <w:sz w:val="28"/>
          <w:szCs w:val="28"/>
        </w:rPr>
        <w:t>团</w:t>
      </w:r>
      <w:r w:rsidRPr="00792FFD">
        <w:rPr>
          <w:b/>
          <w:color w:val="000000"/>
          <w:sz w:val="28"/>
          <w:szCs w:val="28"/>
        </w:rPr>
        <w:t>—</w:t>
      </w:r>
      <w:r w:rsidRPr="00792FFD">
        <w:rPr>
          <w:b/>
          <w:color w:val="000000"/>
          <w:sz w:val="28"/>
          <w:szCs w:val="28"/>
        </w:rPr>
        <w:t>图木舒克市</w:t>
      </w:r>
      <w:r w:rsidRPr="00792FFD">
        <w:rPr>
          <w:b/>
          <w:color w:val="000000"/>
          <w:sz w:val="28"/>
          <w:szCs w:val="28"/>
        </w:rPr>
        <w:t>—</w:t>
      </w:r>
      <w:r w:rsidRPr="00792FFD">
        <w:rPr>
          <w:b/>
          <w:color w:val="000000"/>
          <w:sz w:val="28"/>
          <w:szCs w:val="28"/>
        </w:rPr>
        <w:t>巴楚县</w:t>
      </w:r>
      <w:r w:rsidRPr="00792FFD">
        <w:rPr>
          <w:b/>
          <w:color w:val="000000"/>
          <w:sz w:val="28"/>
          <w:szCs w:val="28"/>
        </w:rPr>
        <w:t>—</w:t>
      </w:r>
      <w:r w:rsidRPr="00792FFD">
        <w:rPr>
          <w:b/>
          <w:color w:val="000000"/>
          <w:sz w:val="28"/>
          <w:szCs w:val="28"/>
        </w:rPr>
        <w:t>麦盖提垦区一级（高速）公路</w:t>
      </w:r>
    </w:p>
    <w:p w:rsidR="00955D43" w:rsidRDefault="007A3B24" w:rsidP="007A3B24">
      <w:pPr>
        <w:jc w:val="center"/>
        <w:rPr>
          <w:rFonts w:ascii="宋体"/>
          <w:b/>
          <w:color w:val="000000"/>
          <w:sz w:val="30"/>
          <w:szCs w:val="30"/>
        </w:rPr>
      </w:pPr>
      <w:r w:rsidRPr="00792FFD">
        <w:rPr>
          <w:rFonts w:hint="eastAsia"/>
          <w:b/>
          <w:color w:val="000000"/>
          <w:sz w:val="28"/>
          <w:szCs w:val="28"/>
        </w:rPr>
        <w:t>机电</w:t>
      </w:r>
      <w:r w:rsidRPr="00792FFD">
        <w:rPr>
          <w:b/>
          <w:color w:val="000000"/>
          <w:sz w:val="28"/>
          <w:szCs w:val="28"/>
        </w:rPr>
        <w:t>监理</w:t>
      </w:r>
      <w:r w:rsidR="00450DA6">
        <w:rPr>
          <w:rFonts w:ascii="宋体"/>
          <w:b/>
          <w:color w:val="000000"/>
          <w:sz w:val="30"/>
          <w:szCs w:val="30"/>
        </w:rPr>
        <w:t>评标办法</w:t>
      </w:r>
    </w:p>
    <w:p w:rsidR="00955D43" w:rsidRDefault="00450DA6" w:rsidP="00771426">
      <w:pPr>
        <w:spacing w:before="480" w:after="240" w:line="360" w:lineRule="exact"/>
        <w:jc w:val="left"/>
        <w:outlineLvl w:val="2"/>
        <w:rPr>
          <w:rFonts w:ascii="宋体"/>
          <w:b/>
          <w:color w:val="000000"/>
          <w:sz w:val="36"/>
          <w:szCs w:val="36"/>
        </w:rPr>
      </w:pPr>
      <w:r>
        <w:rPr>
          <w:rFonts w:ascii="宋体"/>
          <w:b/>
          <w:color w:val="000000"/>
          <w:sz w:val="30"/>
          <w:szCs w:val="30"/>
        </w:rPr>
        <w:t>附件6  评标办法</w:t>
      </w:r>
    </w:p>
    <w:p w:rsidR="00771426" w:rsidRDefault="00771426" w:rsidP="00771426">
      <w:pPr>
        <w:snapToGrid w:val="0"/>
        <w:spacing w:before="240" w:after="240" w:line="360" w:lineRule="exact"/>
        <w:jc w:val="left"/>
        <w:rPr>
          <w:rFonts w:ascii="宋体" w:hint="eastAsia"/>
          <w:b/>
          <w:color w:val="000000"/>
          <w:sz w:val="28"/>
        </w:rPr>
      </w:pPr>
      <w:r>
        <w:rPr>
          <w:rFonts w:ascii="宋体" w:hint="eastAsia"/>
          <w:b/>
          <w:color w:val="000000"/>
          <w:sz w:val="28"/>
        </w:rPr>
        <w:t>1．总则</w:t>
      </w:r>
    </w:p>
    <w:p w:rsidR="00771426" w:rsidRDefault="00771426" w:rsidP="00771426">
      <w:pPr>
        <w:snapToGrid w:val="0"/>
        <w:spacing w:line="320" w:lineRule="exact"/>
        <w:ind w:firstLine="420"/>
        <w:rPr>
          <w:rFonts w:ascii="宋体" w:hint="eastAsia"/>
          <w:color w:val="000000"/>
        </w:rPr>
      </w:pPr>
      <w:r>
        <w:rPr>
          <w:rFonts w:ascii="宋体" w:hint="eastAsia"/>
          <w:color w:val="000000"/>
        </w:rPr>
        <w:t>1.1  为规范本工程施工监理评标工作，根据《中华人民共和国招标投标法》、《评标委员会和评标方法暂行规定》（</w:t>
      </w:r>
      <w:proofErr w:type="gramStart"/>
      <w:r>
        <w:rPr>
          <w:rFonts w:ascii="宋体" w:hint="eastAsia"/>
          <w:color w:val="000000"/>
        </w:rPr>
        <w:t>国家发改委</w:t>
      </w:r>
      <w:proofErr w:type="gramEnd"/>
      <w:r>
        <w:rPr>
          <w:rFonts w:ascii="宋体" w:hint="eastAsia"/>
          <w:color w:val="000000"/>
        </w:rPr>
        <w:t>等七部委2001年第12号令）、《公路工程施工监理招标投标管理办法》（交通部2006年第5号令）、《公路工程建设项目招标投标管理办法》等有关规定，并结合本工程招标文件，制订本评标办法。</w:t>
      </w:r>
    </w:p>
    <w:p w:rsidR="00771426" w:rsidRDefault="00771426" w:rsidP="00771426">
      <w:pPr>
        <w:snapToGrid w:val="0"/>
        <w:spacing w:line="320" w:lineRule="exact"/>
        <w:ind w:firstLine="420"/>
        <w:rPr>
          <w:rFonts w:ascii="宋体" w:hint="eastAsia"/>
          <w:color w:val="000000"/>
        </w:rPr>
      </w:pPr>
      <w:r>
        <w:rPr>
          <w:rFonts w:ascii="宋体" w:hint="eastAsia"/>
          <w:color w:val="000000"/>
        </w:rPr>
        <w:t>1.2  评标活动遵循公平、公正、科学、择优的原则。</w:t>
      </w:r>
    </w:p>
    <w:p w:rsidR="00771426" w:rsidRDefault="00771426" w:rsidP="00771426">
      <w:pPr>
        <w:snapToGrid w:val="0"/>
        <w:spacing w:line="320" w:lineRule="exact"/>
        <w:ind w:firstLine="420"/>
        <w:rPr>
          <w:rFonts w:ascii="宋体" w:hint="eastAsia"/>
          <w:color w:val="000000"/>
        </w:rPr>
      </w:pPr>
      <w:r>
        <w:rPr>
          <w:rFonts w:ascii="宋体" w:hint="eastAsia"/>
          <w:color w:val="000000"/>
        </w:rPr>
        <w:t>1.3  评标活动应在严格保密的情况下进行。评标人员必须严格遵守保密规定，不得和投标人串通，不得泄露与评标活动有关的情况，不得索贿受贿，不得参加可能影响公正评标的任何活动。评标期间投标人不得干扰评标工作，不得采用行贿或其他不正当手段影响评标。</w:t>
      </w:r>
    </w:p>
    <w:p w:rsidR="00771426" w:rsidRDefault="00771426" w:rsidP="00771426">
      <w:pPr>
        <w:snapToGrid w:val="0"/>
        <w:spacing w:line="320" w:lineRule="exact"/>
        <w:ind w:firstLine="420"/>
        <w:rPr>
          <w:rFonts w:ascii="宋体" w:hint="eastAsia"/>
          <w:color w:val="000000"/>
        </w:rPr>
      </w:pPr>
      <w:r>
        <w:rPr>
          <w:rFonts w:ascii="宋体" w:hint="eastAsia"/>
          <w:color w:val="000000"/>
        </w:rPr>
        <w:t>1.4  本项目评标采用</w:t>
      </w:r>
      <w:r>
        <w:rPr>
          <w:rFonts w:ascii="宋体" w:hint="eastAsia"/>
          <w:color w:val="000000"/>
          <w:u w:val="single"/>
        </w:rPr>
        <w:t xml:space="preserve">综合评估法 </w:t>
      </w:r>
      <w:r>
        <w:rPr>
          <w:rFonts w:ascii="宋体" w:hint="eastAsia"/>
          <w:color w:val="000000"/>
        </w:rPr>
        <w:t>。</w:t>
      </w:r>
    </w:p>
    <w:p w:rsidR="00771426" w:rsidRDefault="00771426" w:rsidP="00771426">
      <w:pPr>
        <w:snapToGrid w:val="0"/>
        <w:spacing w:before="240" w:after="240" w:line="320" w:lineRule="exact"/>
        <w:jc w:val="left"/>
        <w:rPr>
          <w:rFonts w:ascii="宋体" w:hint="eastAsia"/>
          <w:b/>
          <w:color w:val="000000"/>
          <w:sz w:val="28"/>
        </w:rPr>
      </w:pPr>
      <w:r>
        <w:rPr>
          <w:rFonts w:ascii="宋体" w:hint="eastAsia"/>
          <w:b/>
          <w:color w:val="000000"/>
          <w:sz w:val="28"/>
        </w:rPr>
        <w:t>2．评标组织及职责</w:t>
      </w:r>
    </w:p>
    <w:p w:rsidR="00771426" w:rsidRDefault="00771426" w:rsidP="00771426">
      <w:pPr>
        <w:keepNext/>
        <w:keepLines/>
        <w:snapToGrid w:val="0"/>
        <w:spacing w:before="120" w:after="240" w:line="320" w:lineRule="exact"/>
        <w:jc w:val="left"/>
        <w:rPr>
          <w:rFonts w:ascii="宋体" w:hint="eastAsia"/>
          <w:b/>
          <w:color w:val="000000"/>
          <w:sz w:val="24"/>
        </w:rPr>
      </w:pPr>
      <w:r>
        <w:rPr>
          <w:rFonts w:ascii="宋体" w:hint="eastAsia"/>
          <w:b/>
          <w:color w:val="000000"/>
          <w:sz w:val="24"/>
        </w:rPr>
        <w:t>2.1  评标委员会组成</w:t>
      </w:r>
    </w:p>
    <w:p w:rsidR="00771426" w:rsidRDefault="00771426" w:rsidP="00771426">
      <w:pPr>
        <w:snapToGrid w:val="0"/>
        <w:spacing w:line="320" w:lineRule="exact"/>
        <w:ind w:firstLine="420"/>
        <w:rPr>
          <w:rFonts w:ascii="宋体" w:hint="eastAsia"/>
          <w:color w:val="000000"/>
        </w:rPr>
      </w:pPr>
      <w:r>
        <w:rPr>
          <w:rFonts w:ascii="宋体" w:hint="eastAsia"/>
          <w:color w:val="000000"/>
        </w:rPr>
        <w:t>招标人依法组建评标委员会。评标委员会由招标人代表从兵团交通局公路工程评标专家库中随机抽取的评标专家共同组成，人数为</w:t>
      </w:r>
      <w:r>
        <w:rPr>
          <w:rFonts w:ascii="宋体" w:hint="eastAsia"/>
          <w:color w:val="000000"/>
          <w:u w:val="single"/>
        </w:rPr>
        <w:t>5</w:t>
      </w:r>
      <w:r>
        <w:rPr>
          <w:rFonts w:ascii="宋体" w:hint="eastAsia"/>
          <w:color w:val="000000"/>
        </w:rPr>
        <w:t>人及以上单数，其中技术评标专家人数不得少于总数的三分之二。评标委员会开始工作之前应由评标委员会推举产生一名主任评标委员，负责协调、组织评标委员会成员开展评标工作。</w:t>
      </w:r>
    </w:p>
    <w:p w:rsidR="00771426" w:rsidRDefault="00771426" w:rsidP="00771426">
      <w:pPr>
        <w:keepNext/>
        <w:keepLines/>
        <w:snapToGrid w:val="0"/>
        <w:spacing w:before="120" w:after="240" w:line="320" w:lineRule="exact"/>
        <w:jc w:val="left"/>
        <w:rPr>
          <w:rFonts w:ascii="宋体" w:hint="eastAsia"/>
          <w:b/>
          <w:color w:val="000000"/>
          <w:sz w:val="24"/>
        </w:rPr>
      </w:pPr>
      <w:r>
        <w:rPr>
          <w:rFonts w:ascii="宋体" w:hint="eastAsia"/>
          <w:b/>
          <w:color w:val="000000"/>
          <w:sz w:val="24"/>
        </w:rPr>
        <w:t>2.2  评标委员会职责</w:t>
      </w:r>
    </w:p>
    <w:p w:rsidR="00771426" w:rsidRDefault="00771426" w:rsidP="00771426">
      <w:pPr>
        <w:snapToGrid w:val="0"/>
        <w:spacing w:line="320" w:lineRule="exact"/>
        <w:ind w:firstLine="420"/>
        <w:rPr>
          <w:rFonts w:ascii="宋体" w:hint="eastAsia"/>
          <w:color w:val="000000"/>
        </w:rPr>
      </w:pPr>
      <w:r>
        <w:rPr>
          <w:rFonts w:ascii="宋体" w:hint="eastAsia"/>
          <w:color w:val="000000"/>
        </w:rPr>
        <w:t>（1）对投标文件进行初步评审、资格审查；</w:t>
      </w:r>
    </w:p>
    <w:p w:rsidR="00771426" w:rsidRDefault="00771426" w:rsidP="00771426">
      <w:pPr>
        <w:snapToGrid w:val="0"/>
        <w:spacing w:line="320" w:lineRule="exact"/>
        <w:ind w:firstLine="420"/>
        <w:rPr>
          <w:rFonts w:ascii="宋体" w:hint="eastAsia"/>
          <w:color w:val="000000"/>
        </w:rPr>
      </w:pPr>
      <w:r>
        <w:rPr>
          <w:rFonts w:ascii="宋体" w:hint="eastAsia"/>
          <w:color w:val="000000"/>
        </w:rPr>
        <w:t>（2）确定评审需澄清、核实的内容；</w:t>
      </w:r>
    </w:p>
    <w:p w:rsidR="00771426" w:rsidRDefault="00771426" w:rsidP="00771426">
      <w:pPr>
        <w:snapToGrid w:val="0"/>
        <w:spacing w:line="320" w:lineRule="exact"/>
        <w:ind w:firstLine="420"/>
        <w:rPr>
          <w:rFonts w:ascii="宋体" w:hint="eastAsia"/>
          <w:b/>
          <w:color w:val="000000"/>
        </w:rPr>
      </w:pPr>
      <w:r>
        <w:rPr>
          <w:rFonts w:ascii="宋体" w:hint="eastAsia"/>
          <w:color w:val="000000"/>
        </w:rPr>
        <w:t>（3）进行商务、技术的详细评审；</w:t>
      </w:r>
    </w:p>
    <w:p w:rsidR="00771426" w:rsidRDefault="00771426" w:rsidP="00771426">
      <w:pPr>
        <w:snapToGrid w:val="0"/>
        <w:spacing w:line="320" w:lineRule="exact"/>
        <w:ind w:firstLine="420"/>
        <w:rPr>
          <w:rFonts w:ascii="宋体" w:hint="eastAsia"/>
          <w:color w:val="000000"/>
        </w:rPr>
      </w:pPr>
      <w:r>
        <w:rPr>
          <w:rFonts w:ascii="宋体" w:hint="eastAsia"/>
          <w:color w:val="000000"/>
        </w:rPr>
        <w:t>（4）综合评分并推荐中标候选人；</w:t>
      </w:r>
    </w:p>
    <w:p w:rsidR="00771426" w:rsidRDefault="00771426" w:rsidP="00771426">
      <w:pPr>
        <w:snapToGrid w:val="0"/>
        <w:spacing w:line="320" w:lineRule="exact"/>
        <w:ind w:firstLine="420"/>
        <w:rPr>
          <w:rFonts w:ascii="宋体" w:hint="eastAsia"/>
          <w:color w:val="000000"/>
        </w:rPr>
      </w:pPr>
      <w:r>
        <w:rPr>
          <w:rFonts w:ascii="宋体" w:hint="eastAsia"/>
          <w:color w:val="000000"/>
        </w:rPr>
        <w:t>（5）建议是否重新招标；</w:t>
      </w:r>
    </w:p>
    <w:p w:rsidR="00771426" w:rsidRDefault="00771426" w:rsidP="00771426">
      <w:pPr>
        <w:snapToGrid w:val="0"/>
        <w:spacing w:line="320" w:lineRule="exact"/>
        <w:ind w:firstLine="420"/>
        <w:rPr>
          <w:rFonts w:ascii="宋体" w:hint="eastAsia"/>
          <w:color w:val="000000"/>
        </w:rPr>
      </w:pPr>
      <w:r>
        <w:rPr>
          <w:rFonts w:ascii="宋体" w:hint="eastAsia"/>
          <w:color w:val="000000"/>
        </w:rPr>
        <w:t>（6）完成书面评标报告提交招标人。</w:t>
      </w:r>
    </w:p>
    <w:p w:rsidR="00771426" w:rsidRDefault="00771426" w:rsidP="00771426">
      <w:pPr>
        <w:snapToGrid w:val="0"/>
        <w:spacing w:before="240" w:after="120" w:line="320" w:lineRule="exact"/>
        <w:jc w:val="left"/>
        <w:rPr>
          <w:rFonts w:ascii="宋体" w:hint="eastAsia"/>
          <w:b/>
          <w:color w:val="000000"/>
          <w:sz w:val="28"/>
        </w:rPr>
      </w:pPr>
      <w:r>
        <w:rPr>
          <w:rFonts w:ascii="宋体" w:hint="eastAsia"/>
          <w:b/>
          <w:color w:val="000000"/>
          <w:sz w:val="28"/>
        </w:rPr>
        <w:t>3．评审程序</w:t>
      </w:r>
    </w:p>
    <w:p w:rsidR="00771426" w:rsidRDefault="00771426" w:rsidP="00771426">
      <w:pPr>
        <w:keepNext/>
        <w:keepLines/>
        <w:snapToGrid w:val="0"/>
        <w:spacing w:before="120" w:after="120" w:line="320" w:lineRule="exact"/>
        <w:jc w:val="left"/>
        <w:rPr>
          <w:rFonts w:ascii="宋体" w:hint="eastAsia"/>
          <w:b/>
          <w:color w:val="000000"/>
          <w:sz w:val="24"/>
        </w:rPr>
      </w:pPr>
      <w:r>
        <w:rPr>
          <w:rFonts w:ascii="宋体" w:hint="eastAsia"/>
          <w:b/>
          <w:color w:val="000000"/>
          <w:sz w:val="24"/>
        </w:rPr>
        <w:t>3.1  评标准备</w:t>
      </w:r>
    </w:p>
    <w:p w:rsidR="00771426" w:rsidRDefault="00771426" w:rsidP="00771426">
      <w:pPr>
        <w:snapToGrid w:val="0"/>
        <w:spacing w:line="320" w:lineRule="exact"/>
        <w:ind w:firstLine="420"/>
        <w:rPr>
          <w:rFonts w:ascii="宋体" w:hint="eastAsia"/>
          <w:color w:val="000000"/>
        </w:rPr>
      </w:pPr>
      <w:r>
        <w:rPr>
          <w:rFonts w:ascii="宋体" w:hint="eastAsia"/>
          <w:color w:val="000000"/>
        </w:rPr>
        <w:t>评标委员会开始评标工作之前，必须首先认真研读招标文件；招标人应当向评标委员会提供招标文件、评标办法和评标所需的其他重要信息与数据，协助评标委员会了解和熟悉招标工程的如下内容：</w:t>
      </w:r>
    </w:p>
    <w:p w:rsidR="00771426" w:rsidRDefault="00771426" w:rsidP="00771426">
      <w:pPr>
        <w:snapToGrid w:val="0"/>
        <w:spacing w:line="320" w:lineRule="exact"/>
        <w:ind w:firstLine="420"/>
        <w:rPr>
          <w:rFonts w:ascii="宋体" w:hint="eastAsia"/>
          <w:color w:val="000000"/>
        </w:rPr>
      </w:pPr>
      <w:r>
        <w:rPr>
          <w:rFonts w:ascii="宋体" w:hint="eastAsia"/>
          <w:color w:val="000000"/>
        </w:rPr>
        <w:t>（1）招标项目的工程规模、标准和工程特点；</w:t>
      </w:r>
    </w:p>
    <w:p w:rsidR="00771426" w:rsidRDefault="00771426" w:rsidP="00771426">
      <w:pPr>
        <w:snapToGrid w:val="0"/>
        <w:spacing w:line="320" w:lineRule="exact"/>
        <w:ind w:firstLine="420"/>
        <w:rPr>
          <w:rFonts w:ascii="宋体" w:hint="eastAsia"/>
          <w:color w:val="000000"/>
        </w:rPr>
      </w:pPr>
      <w:r>
        <w:rPr>
          <w:rFonts w:ascii="宋体" w:hint="eastAsia"/>
          <w:color w:val="000000"/>
        </w:rPr>
        <w:t>（2）招标文件规定的评标办法；</w:t>
      </w:r>
    </w:p>
    <w:p w:rsidR="00771426" w:rsidRDefault="00771426" w:rsidP="00771426">
      <w:pPr>
        <w:snapToGrid w:val="0"/>
        <w:spacing w:line="320" w:lineRule="exact"/>
        <w:ind w:firstLine="420"/>
        <w:rPr>
          <w:rFonts w:ascii="宋体" w:hint="eastAsia"/>
          <w:color w:val="000000"/>
          <w:spacing w:val="-6"/>
        </w:rPr>
      </w:pPr>
      <w:r>
        <w:rPr>
          <w:rFonts w:ascii="宋体" w:hint="eastAsia"/>
          <w:color w:val="000000"/>
        </w:rPr>
        <w:lastRenderedPageBreak/>
        <w:t>（3）招标文件规定的其他与评标有关的内容。</w:t>
      </w:r>
    </w:p>
    <w:p w:rsidR="00771426" w:rsidRDefault="00771426" w:rsidP="00771426">
      <w:pPr>
        <w:keepNext/>
        <w:keepLines/>
        <w:snapToGrid w:val="0"/>
        <w:spacing w:before="120" w:after="120" w:line="320" w:lineRule="exact"/>
        <w:jc w:val="left"/>
        <w:rPr>
          <w:rFonts w:ascii="宋体" w:hint="eastAsia"/>
          <w:b/>
          <w:color w:val="000000"/>
          <w:sz w:val="24"/>
        </w:rPr>
      </w:pPr>
      <w:r>
        <w:rPr>
          <w:rFonts w:ascii="宋体" w:hint="eastAsia"/>
          <w:b/>
          <w:color w:val="000000"/>
          <w:sz w:val="24"/>
        </w:rPr>
        <w:t>3.2  评审程序</w:t>
      </w:r>
    </w:p>
    <w:p w:rsidR="00771426" w:rsidRDefault="00771426" w:rsidP="00771426">
      <w:pPr>
        <w:snapToGrid w:val="0"/>
        <w:spacing w:line="320" w:lineRule="exact"/>
        <w:ind w:firstLine="420"/>
        <w:rPr>
          <w:rFonts w:ascii="宋体" w:hint="eastAsia"/>
          <w:color w:val="000000"/>
        </w:rPr>
      </w:pPr>
      <w:r>
        <w:rPr>
          <w:rFonts w:ascii="宋体" w:hint="eastAsia"/>
          <w:color w:val="000000"/>
        </w:rPr>
        <w:t>（1）初步评审；</w:t>
      </w:r>
    </w:p>
    <w:p w:rsidR="00771426" w:rsidRDefault="00771426" w:rsidP="00771426">
      <w:pPr>
        <w:snapToGrid w:val="0"/>
        <w:spacing w:line="320" w:lineRule="exact"/>
        <w:ind w:firstLine="420"/>
        <w:rPr>
          <w:rFonts w:ascii="宋体" w:hint="eastAsia"/>
          <w:b/>
          <w:color w:val="000000"/>
        </w:rPr>
      </w:pPr>
      <w:r>
        <w:rPr>
          <w:rFonts w:ascii="宋体" w:hint="eastAsia"/>
          <w:color w:val="000000"/>
        </w:rPr>
        <w:t>（2）资格审查；</w:t>
      </w:r>
    </w:p>
    <w:p w:rsidR="00771426" w:rsidRDefault="00771426" w:rsidP="00771426">
      <w:pPr>
        <w:snapToGrid w:val="0"/>
        <w:spacing w:line="320" w:lineRule="exact"/>
        <w:ind w:firstLine="420"/>
        <w:rPr>
          <w:rFonts w:ascii="宋体" w:hint="eastAsia"/>
          <w:color w:val="000000"/>
        </w:rPr>
      </w:pPr>
      <w:r>
        <w:rPr>
          <w:rFonts w:ascii="宋体" w:hint="eastAsia"/>
          <w:color w:val="000000"/>
        </w:rPr>
        <w:t>（3）详细评审；</w:t>
      </w:r>
    </w:p>
    <w:p w:rsidR="00771426" w:rsidRDefault="00771426" w:rsidP="00771426">
      <w:pPr>
        <w:snapToGrid w:val="0"/>
        <w:spacing w:line="320" w:lineRule="exact"/>
        <w:ind w:firstLine="420"/>
        <w:rPr>
          <w:rFonts w:ascii="宋体" w:hint="eastAsia"/>
          <w:color w:val="000000"/>
        </w:rPr>
      </w:pPr>
      <w:r>
        <w:rPr>
          <w:rFonts w:ascii="宋体" w:hint="eastAsia"/>
          <w:color w:val="000000"/>
        </w:rPr>
        <w:t>（4）投标文件的澄清；</w:t>
      </w:r>
    </w:p>
    <w:p w:rsidR="00771426" w:rsidRDefault="00771426" w:rsidP="00771426">
      <w:pPr>
        <w:snapToGrid w:val="0"/>
        <w:spacing w:line="320" w:lineRule="exact"/>
        <w:ind w:firstLine="420"/>
        <w:rPr>
          <w:rFonts w:ascii="宋体" w:hint="eastAsia"/>
          <w:color w:val="000000"/>
        </w:rPr>
      </w:pPr>
      <w:r>
        <w:rPr>
          <w:rFonts w:ascii="宋体" w:hint="eastAsia"/>
          <w:color w:val="000000"/>
        </w:rPr>
        <w:t>（5）综合评分；</w:t>
      </w:r>
    </w:p>
    <w:p w:rsidR="00771426" w:rsidRDefault="00771426" w:rsidP="00771426">
      <w:pPr>
        <w:snapToGrid w:val="0"/>
        <w:spacing w:line="320" w:lineRule="exact"/>
        <w:ind w:firstLine="420"/>
        <w:rPr>
          <w:rFonts w:ascii="宋体" w:hint="eastAsia"/>
          <w:color w:val="000000"/>
        </w:rPr>
      </w:pPr>
      <w:r>
        <w:rPr>
          <w:rFonts w:ascii="宋体" w:hint="eastAsia"/>
          <w:color w:val="000000"/>
        </w:rPr>
        <w:t>（6）推荐中标候选人；</w:t>
      </w:r>
    </w:p>
    <w:p w:rsidR="00771426" w:rsidRDefault="00771426" w:rsidP="00771426">
      <w:pPr>
        <w:snapToGrid w:val="0"/>
        <w:spacing w:line="320" w:lineRule="exact"/>
        <w:ind w:firstLine="420"/>
        <w:rPr>
          <w:rFonts w:ascii="宋体" w:hint="eastAsia"/>
          <w:color w:val="000000"/>
        </w:rPr>
      </w:pPr>
      <w:r>
        <w:rPr>
          <w:rFonts w:ascii="宋体" w:hint="eastAsia"/>
          <w:color w:val="000000"/>
        </w:rPr>
        <w:t>（7）编写评标报告。</w:t>
      </w:r>
    </w:p>
    <w:p w:rsidR="00771426" w:rsidRDefault="00771426" w:rsidP="00771426">
      <w:pPr>
        <w:snapToGrid w:val="0"/>
        <w:spacing w:before="240" w:after="120" w:line="320" w:lineRule="exact"/>
        <w:jc w:val="left"/>
        <w:rPr>
          <w:rFonts w:ascii="宋体" w:hint="eastAsia"/>
          <w:b/>
          <w:color w:val="000000"/>
          <w:sz w:val="28"/>
        </w:rPr>
      </w:pPr>
      <w:r>
        <w:rPr>
          <w:rFonts w:ascii="宋体" w:hint="eastAsia"/>
          <w:b/>
          <w:color w:val="000000"/>
          <w:sz w:val="28"/>
        </w:rPr>
        <w:t>4．初步评审</w:t>
      </w:r>
    </w:p>
    <w:p w:rsidR="00771426" w:rsidRDefault="00771426" w:rsidP="00771426">
      <w:pPr>
        <w:snapToGrid w:val="0"/>
        <w:spacing w:line="320" w:lineRule="exact"/>
        <w:ind w:firstLine="420"/>
        <w:rPr>
          <w:rFonts w:ascii="宋体" w:hint="eastAsia"/>
          <w:color w:val="000000"/>
        </w:rPr>
      </w:pPr>
      <w:r>
        <w:rPr>
          <w:rFonts w:ascii="宋体" w:hint="eastAsia"/>
          <w:color w:val="000000"/>
        </w:rPr>
        <w:t>评标委员会将对投标文件进行初步评审。只有通过初步评审的投标文件才能参加下一阶段评审。通过初步评审的主要条件：</w:t>
      </w:r>
    </w:p>
    <w:p w:rsidR="00771426" w:rsidRDefault="00771426" w:rsidP="00771426">
      <w:pPr>
        <w:snapToGrid w:val="0"/>
        <w:spacing w:line="320" w:lineRule="exact"/>
        <w:ind w:firstLine="420"/>
        <w:rPr>
          <w:rFonts w:ascii="宋体" w:hint="eastAsia"/>
          <w:color w:val="000000"/>
        </w:rPr>
      </w:pPr>
      <w:r>
        <w:rPr>
          <w:rFonts w:ascii="宋体" w:hint="eastAsia"/>
          <w:color w:val="000000"/>
        </w:rPr>
        <w:t>（1）投标文件按照招标文件规定的格式、内容和要求编制，字迹清晰可辨；</w:t>
      </w:r>
    </w:p>
    <w:p w:rsidR="00771426" w:rsidRDefault="00771426" w:rsidP="00771426">
      <w:pPr>
        <w:snapToGrid w:val="0"/>
        <w:spacing w:line="320" w:lineRule="exact"/>
        <w:ind w:firstLine="420"/>
        <w:rPr>
          <w:rFonts w:ascii="宋体" w:hint="eastAsia"/>
          <w:color w:val="000000"/>
        </w:rPr>
      </w:pPr>
      <w:r>
        <w:rPr>
          <w:rFonts w:ascii="宋体" w:hint="eastAsia"/>
          <w:color w:val="000000"/>
        </w:rPr>
        <w:t>（2）投标文件（正本）按招标文件规定加盖投标人公章并由法定代表人或其授权代理人逐页签署姓名，未使用签名章代替；</w:t>
      </w:r>
    </w:p>
    <w:p w:rsidR="00771426" w:rsidRDefault="00771426" w:rsidP="00771426">
      <w:pPr>
        <w:snapToGrid w:val="0"/>
        <w:spacing w:line="320" w:lineRule="exact"/>
        <w:ind w:firstLine="420"/>
        <w:rPr>
          <w:rFonts w:ascii="宋体" w:hint="eastAsia"/>
          <w:b/>
          <w:color w:val="000000"/>
        </w:rPr>
      </w:pPr>
      <w:r>
        <w:rPr>
          <w:rFonts w:ascii="宋体" w:hint="eastAsia"/>
          <w:color w:val="000000"/>
        </w:rPr>
        <w:t>（3）与申请资格预审时比较，投标人资格未发生实质性变化；</w:t>
      </w:r>
    </w:p>
    <w:p w:rsidR="00771426" w:rsidRDefault="00771426" w:rsidP="00771426">
      <w:pPr>
        <w:snapToGrid w:val="0"/>
        <w:spacing w:line="320" w:lineRule="exact"/>
        <w:ind w:firstLine="420"/>
        <w:rPr>
          <w:rFonts w:ascii="宋体" w:hint="eastAsia"/>
          <w:color w:val="000000"/>
        </w:rPr>
      </w:pPr>
      <w:r>
        <w:rPr>
          <w:rFonts w:ascii="宋体" w:hint="eastAsia"/>
          <w:color w:val="000000"/>
        </w:rPr>
        <w:t>（4）投标人按照招标文件规定的形式、时限和要求提供了投标保证金；</w:t>
      </w:r>
    </w:p>
    <w:p w:rsidR="00771426" w:rsidRDefault="00771426" w:rsidP="00771426">
      <w:pPr>
        <w:snapToGrid w:val="0"/>
        <w:spacing w:line="320" w:lineRule="exact"/>
        <w:ind w:firstLine="420"/>
        <w:rPr>
          <w:rFonts w:ascii="宋体" w:hint="eastAsia"/>
          <w:color w:val="000000"/>
        </w:rPr>
      </w:pPr>
      <w:r>
        <w:rPr>
          <w:rFonts w:ascii="宋体" w:hint="eastAsia"/>
          <w:color w:val="000000"/>
        </w:rPr>
        <w:t>（5）以联合体形式投标的，符合投标人须知第2.2款的规定；</w:t>
      </w:r>
    </w:p>
    <w:p w:rsidR="00771426" w:rsidRDefault="00771426" w:rsidP="00771426">
      <w:pPr>
        <w:snapToGrid w:val="0"/>
        <w:spacing w:line="320" w:lineRule="exact"/>
        <w:ind w:firstLine="420"/>
        <w:rPr>
          <w:rFonts w:ascii="宋体" w:hint="eastAsia"/>
          <w:color w:val="000000"/>
        </w:rPr>
      </w:pPr>
      <w:r>
        <w:rPr>
          <w:rFonts w:ascii="宋体" w:hint="eastAsia"/>
          <w:color w:val="000000"/>
        </w:rPr>
        <w:t>（6）按照招标文件规定提供了法定代表人身份证明、授权书（如有）、公证书；</w:t>
      </w:r>
    </w:p>
    <w:p w:rsidR="00771426" w:rsidRDefault="00771426" w:rsidP="00771426">
      <w:pPr>
        <w:snapToGrid w:val="0"/>
        <w:spacing w:line="320" w:lineRule="exact"/>
        <w:ind w:firstLine="420"/>
        <w:rPr>
          <w:rFonts w:ascii="宋体" w:hint="eastAsia"/>
          <w:color w:val="000000"/>
        </w:rPr>
      </w:pPr>
      <w:r>
        <w:rPr>
          <w:rFonts w:ascii="宋体" w:hint="eastAsia"/>
          <w:color w:val="000000"/>
        </w:rPr>
        <w:t>（7）监理服务期、工程质量目标满足招标文件要求；</w:t>
      </w:r>
    </w:p>
    <w:p w:rsidR="00771426" w:rsidRDefault="00771426" w:rsidP="00771426">
      <w:pPr>
        <w:snapToGrid w:val="0"/>
        <w:spacing w:line="320" w:lineRule="exact"/>
        <w:ind w:firstLine="420"/>
        <w:rPr>
          <w:rFonts w:ascii="宋体" w:hint="eastAsia"/>
          <w:color w:val="000000"/>
        </w:rPr>
      </w:pPr>
      <w:r>
        <w:rPr>
          <w:rFonts w:ascii="宋体" w:hint="eastAsia"/>
          <w:color w:val="000000"/>
        </w:rPr>
        <w:t>（8）投标人未以他人名义投标、未与他人串通投标、未以行贿手段谋取中标，以及未弄虚作假；</w:t>
      </w:r>
    </w:p>
    <w:p w:rsidR="00771426" w:rsidRDefault="00771426" w:rsidP="00771426">
      <w:pPr>
        <w:snapToGrid w:val="0"/>
        <w:spacing w:line="320" w:lineRule="exact"/>
        <w:ind w:firstLine="420"/>
        <w:rPr>
          <w:rFonts w:ascii="宋体" w:hint="eastAsia"/>
          <w:color w:val="000000"/>
        </w:rPr>
      </w:pPr>
      <w:r>
        <w:rPr>
          <w:rFonts w:ascii="宋体" w:hint="eastAsia"/>
          <w:color w:val="000000"/>
        </w:rPr>
        <w:t>（9）投标文件未附有招标人不能接受的其他条件。</w:t>
      </w:r>
    </w:p>
    <w:p w:rsidR="00771426" w:rsidRDefault="00771426" w:rsidP="00771426">
      <w:pPr>
        <w:snapToGrid w:val="0"/>
        <w:spacing w:line="320" w:lineRule="exact"/>
        <w:ind w:firstLine="422"/>
        <w:rPr>
          <w:rFonts w:ascii="宋体" w:hint="eastAsia"/>
          <w:b/>
          <w:color w:val="000000"/>
        </w:rPr>
      </w:pPr>
      <w:r>
        <w:rPr>
          <w:rFonts w:ascii="宋体" w:hint="eastAsia"/>
          <w:b/>
          <w:color w:val="000000"/>
        </w:rPr>
        <w:t>投标文件不符合以上条件之一的，属于重大偏差，其投标将被否决。</w:t>
      </w:r>
    </w:p>
    <w:p w:rsidR="00771426" w:rsidRDefault="00771426" w:rsidP="00771426">
      <w:pPr>
        <w:snapToGrid w:val="0"/>
        <w:spacing w:before="360" w:after="240" w:line="320" w:lineRule="exact"/>
        <w:jc w:val="left"/>
        <w:rPr>
          <w:rFonts w:ascii="宋体" w:hint="eastAsia"/>
          <w:b/>
          <w:color w:val="000000"/>
          <w:sz w:val="28"/>
        </w:rPr>
      </w:pPr>
      <w:r>
        <w:rPr>
          <w:rFonts w:ascii="宋体" w:hint="eastAsia"/>
          <w:b/>
          <w:color w:val="000000"/>
          <w:sz w:val="28"/>
        </w:rPr>
        <w:t>5．资格审查</w:t>
      </w:r>
    </w:p>
    <w:p w:rsidR="00771426" w:rsidRDefault="00771426" w:rsidP="00771426">
      <w:pPr>
        <w:snapToGrid w:val="0"/>
        <w:spacing w:line="320" w:lineRule="exact"/>
        <w:ind w:firstLine="420"/>
        <w:rPr>
          <w:rFonts w:ascii="宋体" w:hint="eastAsia"/>
          <w:color w:val="000000"/>
        </w:rPr>
      </w:pPr>
      <w:r>
        <w:rPr>
          <w:rFonts w:ascii="宋体" w:hint="eastAsia"/>
          <w:color w:val="000000"/>
        </w:rPr>
        <w:t>评标委员会根据招标文件资格审查要求，对投标人的资质、业绩、人员、办公、生活用房及设施、财务能力、履约情况等进行评审，判定其是否满足资格审查要求。</w:t>
      </w:r>
    </w:p>
    <w:p w:rsidR="00771426" w:rsidRDefault="00771426" w:rsidP="00771426">
      <w:pPr>
        <w:snapToGrid w:val="0"/>
        <w:spacing w:line="320" w:lineRule="exact"/>
        <w:ind w:firstLine="420"/>
        <w:rPr>
          <w:rFonts w:ascii="宋体" w:hint="eastAsia"/>
          <w:color w:val="000000"/>
        </w:rPr>
      </w:pPr>
      <w:r>
        <w:rPr>
          <w:rFonts w:ascii="宋体" w:hint="eastAsia"/>
          <w:color w:val="000000"/>
        </w:rPr>
        <w:t>投标文件任一项条件不满足招标文件审查要求的，其投标将被否决。</w:t>
      </w:r>
    </w:p>
    <w:p w:rsidR="00771426" w:rsidRDefault="00771426" w:rsidP="00771426">
      <w:pPr>
        <w:snapToGrid w:val="0"/>
        <w:spacing w:before="360" w:after="240" w:line="320" w:lineRule="exact"/>
        <w:jc w:val="left"/>
        <w:rPr>
          <w:rFonts w:ascii="宋体" w:hint="eastAsia"/>
          <w:b/>
          <w:color w:val="000000"/>
          <w:sz w:val="28"/>
        </w:rPr>
      </w:pPr>
      <w:r>
        <w:rPr>
          <w:rFonts w:ascii="宋体" w:hint="eastAsia"/>
          <w:b/>
          <w:color w:val="000000"/>
          <w:sz w:val="28"/>
        </w:rPr>
        <w:t>6．详细评审</w:t>
      </w:r>
    </w:p>
    <w:p w:rsidR="00771426" w:rsidRDefault="00771426" w:rsidP="00771426">
      <w:pPr>
        <w:snapToGrid w:val="0"/>
        <w:spacing w:line="320" w:lineRule="exact"/>
        <w:ind w:firstLine="420"/>
        <w:rPr>
          <w:rFonts w:ascii="宋体" w:hint="eastAsia"/>
          <w:color w:val="000000"/>
        </w:rPr>
      </w:pPr>
      <w:r>
        <w:rPr>
          <w:rFonts w:ascii="宋体" w:hint="eastAsia"/>
          <w:color w:val="000000"/>
        </w:rPr>
        <w:t>评标委员会对通过初步评审、资格审查的投标文件从合同条款、监理能力、管理水平以及投标人以往监理业绩及履约信誉等方面进行详细评审，并对财务部分、技术部分分别打分，满分100分；技术分值为90分、财务分值为10分。</w:t>
      </w:r>
    </w:p>
    <w:p w:rsidR="00771426" w:rsidRDefault="00771426" w:rsidP="00771426">
      <w:pPr>
        <w:keepNext/>
        <w:keepLines/>
        <w:snapToGrid w:val="0"/>
        <w:spacing w:before="120" w:after="120" w:line="320" w:lineRule="exact"/>
        <w:jc w:val="left"/>
        <w:rPr>
          <w:rFonts w:ascii="宋体" w:hint="eastAsia"/>
          <w:b/>
          <w:color w:val="000000"/>
          <w:sz w:val="24"/>
        </w:rPr>
      </w:pPr>
      <w:r>
        <w:rPr>
          <w:rFonts w:ascii="宋体" w:hint="eastAsia"/>
          <w:b/>
          <w:color w:val="000000"/>
          <w:sz w:val="24"/>
        </w:rPr>
        <w:t>6.1 合同条款响应性评审</w:t>
      </w:r>
    </w:p>
    <w:p w:rsidR="00771426" w:rsidRDefault="00771426" w:rsidP="00771426">
      <w:pPr>
        <w:snapToGrid w:val="0"/>
        <w:spacing w:line="320" w:lineRule="exact"/>
        <w:ind w:firstLine="420"/>
        <w:rPr>
          <w:rFonts w:ascii="宋体" w:hint="eastAsia"/>
          <w:color w:val="000000"/>
        </w:rPr>
      </w:pPr>
      <w:r>
        <w:rPr>
          <w:rFonts w:ascii="宋体" w:hint="eastAsia"/>
          <w:color w:val="000000"/>
        </w:rPr>
        <w:t>投标人通过合同条款响应性评审的主要条件：</w:t>
      </w:r>
    </w:p>
    <w:p w:rsidR="00771426" w:rsidRDefault="00771426" w:rsidP="00771426">
      <w:pPr>
        <w:snapToGrid w:val="0"/>
        <w:spacing w:line="320" w:lineRule="exact"/>
        <w:ind w:firstLine="420"/>
        <w:rPr>
          <w:rFonts w:ascii="宋体" w:hint="eastAsia"/>
          <w:color w:val="000000"/>
        </w:rPr>
      </w:pPr>
      <w:r>
        <w:rPr>
          <w:rFonts w:ascii="宋体" w:hint="eastAsia"/>
          <w:color w:val="000000"/>
        </w:rPr>
        <w:t>（1）投标人应接受招标文件规定的风险划分原则，未提出新的风险划分办法；</w:t>
      </w:r>
    </w:p>
    <w:p w:rsidR="00771426" w:rsidRDefault="00771426" w:rsidP="00771426">
      <w:pPr>
        <w:snapToGrid w:val="0"/>
        <w:spacing w:line="320" w:lineRule="exact"/>
        <w:ind w:firstLine="420"/>
        <w:rPr>
          <w:rFonts w:ascii="宋体" w:hint="eastAsia"/>
          <w:color w:val="000000"/>
        </w:rPr>
      </w:pPr>
      <w:r>
        <w:rPr>
          <w:rFonts w:ascii="宋体" w:hint="eastAsia"/>
          <w:color w:val="000000"/>
        </w:rPr>
        <w:t>（2）投标人未增加招标人的责任范围，或减少投标人义务；</w:t>
      </w:r>
    </w:p>
    <w:p w:rsidR="00771426" w:rsidRDefault="00771426" w:rsidP="00771426">
      <w:pPr>
        <w:snapToGrid w:val="0"/>
        <w:spacing w:line="320" w:lineRule="exact"/>
        <w:ind w:firstLine="420"/>
        <w:rPr>
          <w:rFonts w:ascii="宋体" w:hint="eastAsia"/>
          <w:color w:val="000000"/>
        </w:rPr>
      </w:pPr>
      <w:r>
        <w:rPr>
          <w:rFonts w:ascii="宋体" w:hint="eastAsia"/>
          <w:color w:val="000000"/>
        </w:rPr>
        <w:lastRenderedPageBreak/>
        <w:t>（3）投标人未提出不同的计量、支付办法；</w:t>
      </w:r>
    </w:p>
    <w:p w:rsidR="00771426" w:rsidRDefault="00771426" w:rsidP="00771426">
      <w:pPr>
        <w:snapToGrid w:val="0"/>
        <w:spacing w:line="320" w:lineRule="exact"/>
        <w:ind w:firstLine="420"/>
        <w:rPr>
          <w:rFonts w:ascii="宋体" w:hint="eastAsia"/>
          <w:color w:val="000000"/>
        </w:rPr>
      </w:pPr>
      <w:r>
        <w:rPr>
          <w:rFonts w:ascii="宋体" w:hint="eastAsia"/>
          <w:color w:val="000000"/>
        </w:rPr>
        <w:t>（4）投标人未对合同纠纷、事故处理办法提出异议；</w:t>
      </w:r>
    </w:p>
    <w:p w:rsidR="00771426" w:rsidRDefault="00771426" w:rsidP="00771426">
      <w:pPr>
        <w:snapToGrid w:val="0"/>
        <w:spacing w:line="320" w:lineRule="exact"/>
        <w:ind w:firstLine="420"/>
        <w:rPr>
          <w:rFonts w:ascii="宋体" w:hint="eastAsia"/>
          <w:color w:val="000000"/>
        </w:rPr>
      </w:pPr>
      <w:r>
        <w:rPr>
          <w:rFonts w:ascii="宋体" w:hint="eastAsia"/>
          <w:color w:val="000000"/>
        </w:rPr>
        <w:t>（5）投标人对合同条款没有重大偏离；</w:t>
      </w:r>
    </w:p>
    <w:p w:rsidR="00771426" w:rsidRDefault="00771426" w:rsidP="00771426">
      <w:pPr>
        <w:snapToGrid w:val="0"/>
        <w:spacing w:line="320" w:lineRule="exact"/>
        <w:ind w:firstLine="420"/>
        <w:rPr>
          <w:rFonts w:ascii="宋体" w:hint="eastAsia"/>
          <w:color w:val="000000"/>
        </w:rPr>
      </w:pPr>
      <w:r>
        <w:rPr>
          <w:rFonts w:ascii="宋体" w:hint="eastAsia"/>
          <w:color w:val="000000"/>
        </w:rPr>
        <w:t>（6）满足招标文件规定的其他实质性要求。</w:t>
      </w:r>
    </w:p>
    <w:p w:rsidR="00771426" w:rsidRDefault="00771426" w:rsidP="00771426">
      <w:pPr>
        <w:snapToGrid w:val="0"/>
        <w:spacing w:line="320" w:lineRule="exact"/>
        <w:ind w:firstLine="420"/>
        <w:rPr>
          <w:rFonts w:ascii="宋体" w:hint="eastAsia"/>
          <w:color w:val="000000"/>
        </w:rPr>
      </w:pPr>
      <w:r>
        <w:rPr>
          <w:rFonts w:ascii="宋体" w:hint="eastAsia"/>
          <w:color w:val="000000"/>
        </w:rPr>
        <w:t>投标文件不符合以上条件之一的，其投标将被否决。</w:t>
      </w:r>
    </w:p>
    <w:p w:rsidR="00771426" w:rsidRDefault="00771426" w:rsidP="00771426">
      <w:pPr>
        <w:keepNext/>
        <w:keepLines/>
        <w:snapToGrid w:val="0"/>
        <w:spacing w:before="120" w:after="120" w:line="320" w:lineRule="exact"/>
        <w:jc w:val="left"/>
        <w:rPr>
          <w:rFonts w:ascii="宋体" w:hint="eastAsia"/>
          <w:b/>
          <w:color w:val="000000"/>
          <w:sz w:val="24"/>
        </w:rPr>
      </w:pPr>
      <w:r>
        <w:rPr>
          <w:rFonts w:ascii="宋体" w:hint="eastAsia"/>
          <w:b/>
          <w:color w:val="000000"/>
          <w:sz w:val="24"/>
        </w:rPr>
        <w:t>6.2  技术评审</w:t>
      </w:r>
    </w:p>
    <w:p w:rsidR="00771426" w:rsidRDefault="00771426" w:rsidP="00771426">
      <w:pPr>
        <w:snapToGrid w:val="0"/>
        <w:spacing w:line="320" w:lineRule="exact"/>
        <w:jc w:val="center"/>
        <w:rPr>
          <w:rFonts w:ascii="宋体" w:hint="eastAsia"/>
          <w:b/>
          <w:color w:val="000000"/>
        </w:rPr>
      </w:pPr>
      <w:r>
        <w:rPr>
          <w:rFonts w:ascii="宋体" w:hint="eastAsia"/>
          <w:b/>
          <w:color w:val="000000"/>
        </w:rPr>
        <w:t>技术标评分标准</w:t>
      </w:r>
    </w:p>
    <w:tbl>
      <w:tblPr>
        <w:tblW w:w="0" w:type="auto"/>
        <w:jc w:val="center"/>
        <w:tblLayout w:type="fixed"/>
        <w:tblCellMar>
          <w:left w:w="0" w:type="dxa"/>
          <w:right w:w="0" w:type="dxa"/>
        </w:tblCellMar>
        <w:tblLook w:val="0000" w:firstRow="0" w:lastRow="0" w:firstColumn="0" w:lastColumn="0" w:noHBand="0" w:noVBand="0"/>
      </w:tblPr>
      <w:tblGrid>
        <w:gridCol w:w="803"/>
        <w:gridCol w:w="1089"/>
        <w:gridCol w:w="8"/>
        <w:gridCol w:w="3100"/>
        <w:gridCol w:w="1182"/>
        <w:gridCol w:w="3600"/>
      </w:tblGrid>
      <w:tr w:rsidR="00771426" w:rsidTr="00FF20D1">
        <w:trPr>
          <w:trHeight w:val="30"/>
          <w:jc w:val="center"/>
        </w:trPr>
        <w:tc>
          <w:tcPr>
            <w:tcW w:w="803" w:type="dxa"/>
            <w:tcBorders>
              <w:top w:val="single" w:sz="12" w:space="0" w:color="000000"/>
              <w:left w:val="single" w:sz="12"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序号</w:t>
            </w:r>
          </w:p>
        </w:tc>
        <w:tc>
          <w:tcPr>
            <w:tcW w:w="4197" w:type="dxa"/>
            <w:gridSpan w:val="3"/>
            <w:tcBorders>
              <w:top w:val="single" w:sz="12"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评分项目</w:t>
            </w:r>
          </w:p>
        </w:tc>
        <w:tc>
          <w:tcPr>
            <w:tcW w:w="1182" w:type="dxa"/>
            <w:tcBorders>
              <w:top w:val="single" w:sz="12"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标准分</w:t>
            </w:r>
          </w:p>
        </w:tc>
        <w:tc>
          <w:tcPr>
            <w:tcW w:w="3600" w:type="dxa"/>
            <w:tcBorders>
              <w:top w:val="single" w:sz="12" w:space="0" w:color="000000"/>
              <w:left w:val="single" w:sz="8" w:space="0" w:color="000000"/>
              <w:bottom w:val="single" w:sz="8" w:space="0" w:color="000000"/>
              <w:right w:val="single" w:sz="12"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评审标准</w:t>
            </w:r>
          </w:p>
        </w:tc>
      </w:tr>
      <w:tr w:rsidR="00771426" w:rsidTr="00FF20D1">
        <w:trPr>
          <w:trHeight w:val="40"/>
          <w:jc w:val="center"/>
        </w:trPr>
        <w:tc>
          <w:tcPr>
            <w:tcW w:w="803" w:type="dxa"/>
            <w:vMerge w:val="restart"/>
            <w:tcBorders>
              <w:top w:val="single" w:sz="8" w:space="0" w:color="000000"/>
              <w:left w:val="single" w:sz="12"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proofErr w:type="gramStart"/>
            <w:r>
              <w:rPr>
                <w:rFonts w:ascii="宋体" w:hint="eastAsia"/>
                <w:color w:val="000000"/>
              </w:rPr>
              <w:t>一</w:t>
            </w:r>
            <w:proofErr w:type="gramEnd"/>
          </w:p>
        </w:tc>
        <w:tc>
          <w:tcPr>
            <w:tcW w:w="109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总体构思</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指导思想</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3</w:t>
            </w:r>
          </w:p>
        </w:tc>
        <w:tc>
          <w:tcPr>
            <w:tcW w:w="3600" w:type="dxa"/>
            <w:vMerge w:val="restart"/>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rPr>
                <w:rFonts w:ascii="宋体" w:hint="eastAsia"/>
                <w:color w:val="000000"/>
              </w:rPr>
            </w:pPr>
            <w:r>
              <w:rPr>
                <w:rFonts w:ascii="宋体" w:hint="eastAsia"/>
                <w:color w:val="000000"/>
              </w:rPr>
              <w:t>评分项目在投标文件中都应正确叙述。同时，要根据招标工程的具体特点，编制出符合科学规律、国家相关规定及切合实际的施工监理大纲。</w:t>
            </w:r>
          </w:p>
        </w:tc>
      </w:tr>
      <w:tr w:rsidR="00771426" w:rsidTr="00FF20D1">
        <w:trPr>
          <w:trHeight w:val="40"/>
          <w:jc w:val="center"/>
        </w:trPr>
        <w:tc>
          <w:tcPr>
            <w:tcW w:w="803" w:type="dxa"/>
            <w:vMerge/>
            <w:tcBorders>
              <w:top w:val="single" w:sz="8" w:space="0" w:color="000000"/>
              <w:left w:val="single" w:sz="12"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工作目标</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3</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val="restart"/>
            <w:tcBorders>
              <w:top w:val="single" w:sz="8" w:space="0" w:color="000000"/>
              <w:left w:val="single" w:sz="12"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二</w:t>
            </w:r>
          </w:p>
        </w:tc>
        <w:tc>
          <w:tcPr>
            <w:tcW w:w="1097" w:type="dxa"/>
            <w:gridSpan w:val="2"/>
            <w:vMerge w:val="restart"/>
            <w:tcBorders>
              <w:top w:val="single" w:sz="8"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总体水平</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质量管理体系</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8"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企业业绩</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val="restart"/>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三</w:t>
            </w:r>
          </w:p>
        </w:tc>
        <w:tc>
          <w:tcPr>
            <w:tcW w:w="1097"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监理大纲</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质量控制内容</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材料设备等质量控制措施</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分部分项质量控制措施</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关键点质量控制措施</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项目总控制进度计划目标</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3</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进度控制程序</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8"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进度控制方法及措施</w:t>
            </w:r>
          </w:p>
        </w:tc>
        <w:tc>
          <w:tcPr>
            <w:tcW w:w="1182" w:type="dxa"/>
            <w:tcBorders>
              <w:top w:val="single" w:sz="8"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投资控制方法及程序</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6</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投资控制方法及措施</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分项工程合同履行纠纷协调方法</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分项工程合同实施的保证措施</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现场管理的监理制度及保证措施</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8" w:space="0" w:color="000000"/>
              <w:left w:val="single" w:sz="12"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1097"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现场协调方法和措施</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4</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val="restart"/>
            <w:tcBorders>
              <w:top w:val="single" w:sz="4" w:space="0" w:color="000000"/>
              <w:left w:val="single" w:sz="12" w:space="0" w:color="000000"/>
              <w:bottom w:val="single" w:sz="8"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四</w:t>
            </w:r>
          </w:p>
        </w:tc>
        <w:tc>
          <w:tcPr>
            <w:tcW w:w="1097"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总监工程师</w:t>
            </w:r>
          </w:p>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总监简历</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8</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4" w:space="0" w:color="000000"/>
              <w:left w:val="single" w:sz="12" w:space="0" w:color="000000"/>
              <w:bottom w:val="single" w:sz="8" w:space="0" w:color="000000"/>
              <w:right w:val="single" w:sz="8" w:space="0" w:color="000000"/>
            </w:tcBorders>
            <w:shd w:val="clear" w:color="auto" w:fill="auto"/>
            <w:tcMar>
              <w:top w:w="20" w:type="dxa"/>
            </w:tcMar>
            <w:vAlign w:val="center"/>
          </w:tcPr>
          <w:p w:rsidR="00771426" w:rsidRDefault="00771426" w:rsidP="00FF20D1"/>
        </w:tc>
        <w:tc>
          <w:tcPr>
            <w:tcW w:w="1097" w:type="dxa"/>
            <w:gridSpan w:val="2"/>
            <w:vMerge/>
            <w:tcBorders>
              <w:top w:val="single" w:sz="4" w:space="0" w:color="000000"/>
              <w:left w:val="single" w:sz="8" w:space="0" w:color="000000"/>
              <w:bottom w:val="single" w:sz="8" w:space="0" w:color="000000"/>
              <w:right w:val="single" w:sz="8" w:space="0" w:color="000000"/>
            </w:tcBorders>
            <w:shd w:val="clear" w:color="auto" w:fill="auto"/>
            <w:tcMar>
              <w:top w:w="20" w:type="dxa"/>
            </w:tcMar>
            <w:vAlign w:val="center"/>
          </w:tcPr>
          <w:p w:rsidR="00771426" w:rsidRDefault="00771426" w:rsidP="00FF20D1"/>
        </w:tc>
        <w:tc>
          <w:tcPr>
            <w:tcW w:w="3100"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总监类似经历</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6</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4" w:space="0" w:color="000000"/>
              <w:left w:val="single" w:sz="12" w:space="0" w:color="000000"/>
              <w:bottom w:val="single" w:sz="8" w:space="0" w:color="000000"/>
              <w:right w:val="single" w:sz="8" w:space="0" w:color="000000"/>
            </w:tcBorders>
            <w:shd w:val="clear" w:color="auto" w:fill="auto"/>
            <w:tcMar>
              <w:top w:w="20" w:type="dxa"/>
            </w:tcMar>
            <w:vAlign w:val="center"/>
          </w:tcPr>
          <w:p w:rsidR="00771426" w:rsidRDefault="00771426" w:rsidP="00FF20D1"/>
        </w:tc>
        <w:tc>
          <w:tcPr>
            <w:tcW w:w="1097" w:type="dxa"/>
            <w:gridSpan w:val="2"/>
            <w:vMerge/>
            <w:tcBorders>
              <w:top w:val="single" w:sz="4" w:space="0" w:color="000000"/>
              <w:left w:val="single" w:sz="8" w:space="0" w:color="000000"/>
              <w:bottom w:val="single" w:sz="8" w:space="0" w:color="000000"/>
              <w:right w:val="single" w:sz="8" w:space="0" w:color="000000"/>
            </w:tcBorders>
            <w:shd w:val="clear" w:color="auto" w:fill="auto"/>
            <w:tcMar>
              <w:top w:w="20" w:type="dxa"/>
            </w:tcMar>
            <w:vAlign w:val="center"/>
          </w:tcPr>
          <w:p w:rsidR="00771426" w:rsidRDefault="00771426" w:rsidP="00FF20D1"/>
        </w:tc>
        <w:tc>
          <w:tcPr>
            <w:tcW w:w="3100" w:type="dxa"/>
            <w:tcBorders>
              <w:top w:val="single" w:sz="4"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在监项目</w:t>
            </w:r>
          </w:p>
        </w:tc>
        <w:tc>
          <w:tcPr>
            <w:tcW w:w="1182" w:type="dxa"/>
            <w:tcBorders>
              <w:top w:val="single" w:sz="4"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5</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val="restart"/>
            <w:tcBorders>
              <w:top w:val="single" w:sz="4" w:space="0" w:color="000000"/>
              <w:left w:val="single" w:sz="12" w:space="0" w:color="000000"/>
              <w:bottom w:val="single" w:sz="4" w:space="0" w:color="000000"/>
              <w:right w:val="single" w:sz="4"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五</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检测设备</w:t>
            </w:r>
          </w:p>
        </w:tc>
        <w:tc>
          <w:tcPr>
            <w:tcW w:w="3108" w:type="dxa"/>
            <w:gridSpan w:val="2"/>
            <w:tcBorders>
              <w:top w:val="single" w:sz="4" w:space="0" w:color="000000"/>
              <w:left w:val="single" w:sz="4" w:space="0" w:color="000000"/>
              <w:bottom w:val="single" w:sz="4"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必要的办公及生活设施</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3</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198"/>
          <w:jc w:val="center"/>
        </w:trPr>
        <w:tc>
          <w:tcPr>
            <w:tcW w:w="803" w:type="dxa"/>
            <w:vMerge/>
            <w:tcBorders>
              <w:top w:val="single" w:sz="4" w:space="0" w:color="000000"/>
              <w:left w:val="single" w:sz="12" w:space="0" w:color="000000"/>
              <w:bottom w:val="single" w:sz="4" w:space="0" w:color="000000"/>
              <w:right w:val="single" w:sz="4" w:space="0" w:color="000000"/>
            </w:tcBorders>
            <w:shd w:val="clear" w:color="auto" w:fill="auto"/>
            <w:tcMar>
              <w:top w:w="20" w:type="dxa"/>
            </w:tcMar>
            <w:vAlign w:val="center"/>
          </w:tcPr>
          <w:p w:rsidR="00771426" w:rsidRDefault="00771426" w:rsidP="00FF20D1"/>
        </w:tc>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top w:w="20" w:type="dxa"/>
            </w:tcMar>
            <w:vAlign w:val="center"/>
          </w:tcPr>
          <w:p w:rsidR="00771426" w:rsidRDefault="00771426" w:rsidP="00FF20D1"/>
        </w:tc>
        <w:tc>
          <w:tcPr>
            <w:tcW w:w="3108" w:type="dxa"/>
            <w:gridSpan w:val="2"/>
            <w:tcBorders>
              <w:top w:val="single" w:sz="4" w:space="0" w:color="000000"/>
              <w:left w:val="single" w:sz="4" w:space="0" w:color="000000"/>
              <w:bottom w:val="single" w:sz="4"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项目监测方法及控制措施</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3</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211"/>
          <w:jc w:val="center"/>
        </w:trPr>
        <w:tc>
          <w:tcPr>
            <w:tcW w:w="803" w:type="dxa"/>
            <w:tcBorders>
              <w:top w:val="single" w:sz="4" w:space="0" w:color="000000"/>
              <w:left w:val="single" w:sz="12" w:space="0" w:color="000000"/>
              <w:bottom w:val="single" w:sz="4" w:space="0" w:color="000000"/>
              <w:right w:val="single" w:sz="4"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七</w:t>
            </w:r>
          </w:p>
        </w:tc>
        <w:tc>
          <w:tcPr>
            <w:tcW w:w="4197" w:type="dxa"/>
            <w:gridSpan w:val="3"/>
            <w:tcBorders>
              <w:top w:val="single" w:sz="4" w:space="0" w:color="000000"/>
              <w:left w:val="single" w:sz="4" w:space="0" w:color="000000"/>
              <w:bottom w:val="single" w:sz="4"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color w:val="000000"/>
              </w:rPr>
            </w:pPr>
            <w:proofErr w:type="gramStart"/>
            <w:r>
              <w:rPr>
                <w:rFonts w:ascii="宋体" w:hint="eastAsia"/>
                <w:color w:val="000000"/>
              </w:rPr>
              <w:t>标函质量</w:t>
            </w:r>
            <w:proofErr w:type="gramEnd"/>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color w:val="000000"/>
              </w:rPr>
            </w:pPr>
            <w:r>
              <w:rPr>
                <w:rFonts w:ascii="宋体" w:hint="eastAsia"/>
                <w:color w:val="000000"/>
              </w:rPr>
              <w:t>2</w:t>
            </w:r>
          </w:p>
        </w:tc>
        <w:tc>
          <w:tcPr>
            <w:tcW w:w="3600" w:type="dxa"/>
            <w:vMerge/>
            <w:tcBorders>
              <w:top w:val="single" w:sz="8"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center"/>
          </w:tcPr>
          <w:p w:rsidR="00771426" w:rsidRDefault="00771426" w:rsidP="00FF20D1"/>
        </w:tc>
      </w:tr>
      <w:tr w:rsidR="00771426" w:rsidTr="00FF20D1">
        <w:trPr>
          <w:trHeight w:val="50"/>
          <w:jc w:val="center"/>
        </w:trPr>
        <w:tc>
          <w:tcPr>
            <w:tcW w:w="803" w:type="dxa"/>
            <w:tcBorders>
              <w:top w:val="single" w:sz="4" w:space="0" w:color="000000"/>
              <w:left w:val="single" w:sz="12" w:space="0" w:color="000000"/>
              <w:bottom w:val="single" w:sz="4" w:space="0" w:color="000000"/>
              <w:right w:val="single" w:sz="4"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b/>
                <w:color w:val="000000"/>
              </w:rPr>
            </w:pPr>
            <w:r>
              <w:rPr>
                <w:rFonts w:ascii="宋体" w:hint="eastAsia"/>
                <w:b/>
                <w:color w:val="000000"/>
              </w:rPr>
              <w:t>八</w:t>
            </w:r>
          </w:p>
        </w:tc>
        <w:tc>
          <w:tcPr>
            <w:tcW w:w="4197" w:type="dxa"/>
            <w:gridSpan w:val="3"/>
            <w:tcBorders>
              <w:top w:val="single" w:sz="4" w:space="0" w:color="000000"/>
              <w:left w:val="single" w:sz="4" w:space="0" w:color="000000"/>
              <w:bottom w:val="single" w:sz="4"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b/>
                <w:color w:val="000000"/>
              </w:rPr>
            </w:pPr>
            <w:r>
              <w:rPr>
                <w:rFonts w:ascii="宋体" w:hint="eastAsia"/>
                <w:b/>
                <w:color w:val="000000"/>
              </w:rPr>
              <w:t>合计</w:t>
            </w:r>
          </w:p>
        </w:tc>
        <w:tc>
          <w:tcPr>
            <w:tcW w:w="1182" w:type="dxa"/>
            <w:tcBorders>
              <w:top w:val="single" w:sz="4" w:space="0" w:color="000000"/>
              <w:left w:val="single" w:sz="8" w:space="0" w:color="000000"/>
              <w:bottom w:val="single" w:sz="4"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b/>
                <w:color w:val="000000"/>
              </w:rPr>
            </w:pPr>
            <w:r>
              <w:rPr>
                <w:rFonts w:ascii="宋体" w:hint="eastAsia"/>
                <w:b/>
                <w:color w:val="000000"/>
              </w:rPr>
              <w:t>100</w:t>
            </w:r>
          </w:p>
        </w:tc>
        <w:tc>
          <w:tcPr>
            <w:tcW w:w="3600" w:type="dxa"/>
            <w:tcBorders>
              <w:top w:val="single" w:sz="4" w:space="0" w:color="000000"/>
              <w:left w:val="single" w:sz="8" w:space="0" w:color="000000"/>
              <w:bottom w:val="single" w:sz="4" w:space="0" w:color="000000"/>
              <w:right w:val="single" w:sz="12" w:space="0" w:color="000000"/>
            </w:tcBorders>
            <w:shd w:val="clear" w:color="auto" w:fill="auto"/>
            <w:tcMar>
              <w:top w:w="20" w:type="dxa"/>
              <w:left w:w="20" w:type="dxa"/>
              <w:right w:w="20" w:type="dxa"/>
            </w:tcMar>
            <w:vAlign w:val="bottom"/>
          </w:tcPr>
          <w:p w:rsidR="00771426" w:rsidRDefault="00771426" w:rsidP="00FF20D1">
            <w:pPr>
              <w:snapToGrid w:val="0"/>
              <w:spacing w:line="380" w:lineRule="exact"/>
              <w:jc w:val="center"/>
              <w:rPr>
                <w:rFonts w:ascii="宋体" w:hint="eastAsia"/>
                <w:b/>
                <w:color w:val="000000"/>
              </w:rPr>
            </w:pPr>
          </w:p>
        </w:tc>
      </w:tr>
      <w:tr w:rsidR="00771426" w:rsidTr="00FF20D1">
        <w:trPr>
          <w:trHeight w:val="211"/>
          <w:jc w:val="center"/>
        </w:trPr>
        <w:tc>
          <w:tcPr>
            <w:tcW w:w="803" w:type="dxa"/>
            <w:tcBorders>
              <w:top w:val="single" w:sz="4" w:space="0" w:color="000000"/>
              <w:left w:val="single" w:sz="12" w:space="0" w:color="000000"/>
              <w:bottom w:val="single" w:sz="8" w:space="0" w:color="000000"/>
              <w:right w:val="single" w:sz="4"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b/>
                <w:color w:val="000000"/>
              </w:rPr>
            </w:pPr>
            <w:r>
              <w:rPr>
                <w:rFonts w:ascii="宋体" w:hint="eastAsia"/>
                <w:b/>
                <w:color w:val="000000"/>
              </w:rPr>
              <w:t>九</w:t>
            </w:r>
          </w:p>
        </w:tc>
        <w:tc>
          <w:tcPr>
            <w:tcW w:w="4197" w:type="dxa"/>
            <w:gridSpan w:val="3"/>
            <w:tcBorders>
              <w:top w:val="single" w:sz="4" w:space="0" w:color="000000"/>
              <w:left w:val="single" w:sz="4" w:space="0" w:color="000000"/>
              <w:bottom w:val="single" w:sz="8" w:space="0" w:color="000000"/>
              <w:right w:val="single" w:sz="8" w:space="0" w:color="000000"/>
            </w:tcBorders>
            <w:shd w:val="clear" w:color="auto" w:fill="auto"/>
            <w:tcMar>
              <w:top w:w="20" w:type="dxa"/>
            </w:tcMar>
            <w:vAlign w:val="center"/>
          </w:tcPr>
          <w:p w:rsidR="00771426" w:rsidRDefault="00771426" w:rsidP="00FF20D1">
            <w:pPr>
              <w:snapToGrid w:val="0"/>
              <w:spacing w:line="380" w:lineRule="exact"/>
              <w:jc w:val="center"/>
              <w:rPr>
                <w:rFonts w:ascii="宋体" w:hint="eastAsia"/>
                <w:b/>
                <w:color w:val="000000"/>
              </w:rPr>
            </w:pPr>
            <w:r>
              <w:rPr>
                <w:rFonts w:ascii="宋体" w:hint="eastAsia"/>
                <w:b/>
                <w:color w:val="000000"/>
              </w:rPr>
              <w:t>得分</w:t>
            </w:r>
          </w:p>
        </w:tc>
        <w:tc>
          <w:tcPr>
            <w:tcW w:w="1182" w:type="dxa"/>
            <w:tcBorders>
              <w:top w:val="single" w:sz="4" w:space="0" w:color="000000"/>
              <w:left w:val="single" w:sz="8" w:space="0" w:color="000000"/>
              <w:bottom w:val="single" w:sz="8" w:space="0" w:color="000000"/>
              <w:right w:val="single" w:sz="8" w:space="0" w:color="000000"/>
            </w:tcBorders>
            <w:shd w:val="clear" w:color="auto" w:fill="auto"/>
            <w:tcMar>
              <w:top w:w="20" w:type="dxa"/>
              <w:left w:w="20" w:type="dxa"/>
              <w:right w:w="20" w:type="dxa"/>
            </w:tcMar>
            <w:vAlign w:val="center"/>
          </w:tcPr>
          <w:p w:rsidR="00771426" w:rsidRDefault="00771426" w:rsidP="00FF20D1">
            <w:pPr>
              <w:snapToGrid w:val="0"/>
              <w:spacing w:line="380" w:lineRule="exact"/>
              <w:jc w:val="center"/>
              <w:rPr>
                <w:rFonts w:ascii="宋体" w:hint="eastAsia"/>
                <w:b/>
                <w:color w:val="000000"/>
              </w:rPr>
            </w:pPr>
            <w:r>
              <w:rPr>
                <w:rFonts w:ascii="宋体" w:hint="eastAsia"/>
                <w:b/>
                <w:color w:val="000000"/>
              </w:rPr>
              <w:t>合计×0.9</w:t>
            </w:r>
          </w:p>
        </w:tc>
        <w:tc>
          <w:tcPr>
            <w:tcW w:w="3600" w:type="dxa"/>
            <w:tcBorders>
              <w:top w:val="nil"/>
              <w:left w:val="single" w:sz="8" w:space="0" w:color="000000"/>
              <w:bottom w:val="single" w:sz="8" w:space="0" w:color="000000"/>
              <w:right w:val="single" w:sz="12" w:space="0" w:color="000000"/>
            </w:tcBorders>
            <w:shd w:val="clear" w:color="auto" w:fill="auto"/>
            <w:tcMar>
              <w:top w:w="20" w:type="dxa"/>
              <w:left w:w="20" w:type="dxa"/>
              <w:right w:w="20" w:type="dxa"/>
            </w:tcMar>
            <w:vAlign w:val="bottom"/>
          </w:tcPr>
          <w:p w:rsidR="00771426" w:rsidRDefault="00771426" w:rsidP="00FF20D1">
            <w:pPr>
              <w:snapToGrid w:val="0"/>
              <w:spacing w:line="380" w:lineRule="exact"/>
              <w:jc w:val="center"/>
              <w:rPr>
                <w:rFonts w:ascii="宋体" w:hint="eastAsia"/>
                <w:b/>
                <w:color w:val="000000"/>
              </w:rPr>
            </w:pPr>
          </w:p>
        </w:tc>
      </w:tr>
    </w:tbl>
    <w:p w:rsidR="00771426" w:rsidRDefault="00771426" w:rsidP="00771426">
      <w:pPr>
        <w:keepNext/>
        <w:keepLines/>
        <w:snapToGrid w:val="0"/>
        <w:spacing w:before="120" w:after="120" w:line="360" w:lineRule="exact"/>
        <w:jc w:val="left"/>
        <w:rPr>
          <w:rFonts w:ascii="宋体" w:hint="eastAsia"/>
          <w:b/>
          <w:color w:val="000000"/>
          <w:sz w:val="24"/>
        </w:rPr>
      </w:pPr>
      <w:r>
        <w:rPr>
          <w:rFonts w:ascii="宋体" w:hint="eastAsia"/>
          <w:b/>
          <w:color w:val="000000"/>
          <w:sz w:val="24"/>
        </w:rPr>
        <w:lastRenderedPageBreak/>
        <w:t>6.3  财务评审</w:t>
      </w:r>
    </w:p>
    <w:p w:rsidR="00771426" w:rsidRDefault="00771426" w:rsidP="00771426">
      <w:pPr>
        <w:snapToGrid w:val="0"/>
        <w:spacing w:line="360" w:lineRule="exact"/>
        <w:ind w:firstLine="420"/>
        <w:rPr>
          <w:rFonts w:ascii="宋体" w:hint="eastAsia"/>
          <w:color w:val="000000"/>
        </w:rPr>
      </w:pPr>
      <w:r>
        <w:rPr>
          <w:rFonts w:ascii="宋体" w:hint="eastAsia"/>
          <w:color w:val="000000"/>
        </w:rPr>
        <w:t>监理投标费率报价计算方法：以评标基准价为基准值，即为满分10分，每上浮一个百分点扣除0.5</w:t>
      </w:r>
    </w:p>
    <w:p w:rsidR="00771426" w:rsidRDefault="00771426" w:rsidP="00771426">
      <w:pPr>
        <w:snapToGrid w:val="0"/>
        <w:spacing w:line="360" w:lineRule="exact"/>
        <w:ind w:firstLine="420"/>
        <w:rPr>
          <w:rFonts w:ascii="宋体" w:hint="eastAsia"/>
          <w:color w:val="000000"/>
        </w:rPr>
      </w:pPr>
      <w:r>
        <w:rPr>
          <w:rFonts w:ascii="宋体" w:hint="eastAsia"/>
          <w:color w:val="000000"/>
        </w:rPr>
        <w:t>分，计算公式如下：</w:t>
      </w:r>
    </w:p>
    <w:p w:rsidR="00771426" w:rsidRDefault="00771426" w:rsidP="00771426">
      <w:pPr>
        <w:snapToGrid w:val="0"/>
        <w:spacing w:line="360" w:lineRule="exact"/>
        <w:ind w:firstLine="420"/>
        <w:rPr>
          <w:rFonts w:ascii="宋体" w:hint="eastAsia"/>
          <w:color w:val="000000"/>
        </w:rPr>
      </w:pPr>
      <w:r>
        <w:rPr>
          <w:rFonts w:ascii="宋体" w:hint="eastAsia"/>
          <w:color w:val="000000"/>
        </w:rPr>
        <w:t>基准值为所有投标人投标费率最低报价。</w:t>
      </w:r>
    </w:p>
    <w:p w:rsidR="00771426" w:rsidRDefault="00771426" w:rsidP="00771426">
      <w:pPr>
        <w:snapToGrid w:val="0"/>
        <w:spacing w:line="360" w:lineRule="exact"/>
        <w:ind w:firstLine="2208"/>
        <w:rPr>
          <w:rFonts w:ascii="宋体" w:hint="eastAsia"/>
          <w:color w:val="000000"/>
          <w:vertAlign w:val="subscript"/>
        </w:rPr>
      </w:pPr>
      <w:r>
        <w:rPr>
          <w:rFonts w:ascii="宋体" w:hint="eastAsia"/>
          <w:color w:val="000000"/>
          <w:spacing w:val="79"/>
        </w:rPr>
        <w:t>投标人投</w:t>
      </w:r>
      <w:r>
        <w:rPr>
          <w:rFonts w:ascii="宋体" w:hint="eastAsia"/>
          <w:color w:val="000000"/>
        </w:rPr>
        <w:t>标 费 率：C</w:t>
      </w:r>
      <w:r>
        <w:rPr>
          <w:rFonts w:ascii="宋体" w:hint="eastAsia"/>
          <w:color w:val="000000"/>
          <w:vertAlign w:val="subscript"/>
        </w:rPr>
        <w:t>1</w:t>
      </w:r>
      <w:r>
        <w:rPr>
          <w:rFonts w:ascii="宋体" w:hint="eastAsia"/>
          <w:color w:val="000000"/>
        </w:rPr>
        <w:t>，C</w:t>
      </w:r>
      <w:r>
        <w:rPr>
          <w:rFonts w:ascii="宋体" w:hint="eastAsia"/>
          <w:color w:val="000000"/>
          <w:vertAlign w:val="subscript"/>
        </w:rPr>
        <w:t>2</w:t>
      </w:r>
      <w:r>
        <w:rPr>
          <w:rFonts w:ascii="宋体" w:hint="eastAsia"/>
          <w:color w:val="000000"/>
        </w:rPr>
        <w:t xml:space="preserve"> ，C</w:t>
      </w:r>
      <w:r>
        <w:rPr>
          <w:rFonts w:ascii="宋体" w:hint="eastAsia"/>
          <w:color w:val="000000"/>
          <w:vertAlign w:val="subscript"/>
        </w:rPr>
        <w:t>3</w:t>
      </w:r>
      <w:r>
        <w:rPr>
          <w:rFonts w:ascii="宋体" w:hint="eastAsia"/>
          <w:color w:val="000000"/>
        </w:rPr>
        <w:t>……</w:t>
      </w:r>
      <w:proofErr w:type="spellStart"/>
      <w:r>
        <w:rPr>
          <w:rFonts w:ascii="宋体" w:hint="eastAsia"/>
          <w:color w:val="000000"/>
        </w:rPr>
        <w:t>C</w:t>
      </w:r>
      <w:r>
        <w:rPr>
          <w:rFonts w:ascii="宋体" w:hint="eastAsia"/>
          <w:color w:val="000000"/>
          <w:vertAlign w:val="subscript"/>
        </w:rPr>
        <w:t>i</w:t>
      </w:r>
      <w:proofErr w:type="spellEnd"/>
      <w:r>
        <w:rPr>
          <w:rFonts w:ascii="宋体" w:hint="eastAsia"/>
          <w:color w:val="000000"/>
        </w:rPr>
        <w:t>，</w:t>
      </w:r>
      <w:proofErr w:type="spellStart"/>
      <w:r>
        <w:rPr>
          <w:rFonts w:ascii="宋体" w:hint="eastAsia"/>
          <w:color w:val="000000"/>
        </w:rPr>
        <w:t>C</w:t>
      </w:r>
      <w:r>
        <w:rPr>
          <w:rFonts w:ascii="宋体" w:hint="eastAsia"/>
          <w:color w:val="000000"/>
          <w:vertAlign w:val="subscript"/>
        </w:rPr>
        <w:t>n</w:t>
      </w:r>
      <w:proofErr w:type="spellEnd"/>
    </w:p>
    <w:p w:rsidR="00771426" w:rsidRDefault="00771426" w:rsidP="00771426">
      <w:pPr>
        <w:snapToGrid w:val="0"/>
        <w:spacing w:line="360" w:lineRule="exact"/>
        <w:ind w:firstLine="1259"/>
        <w:rPr>
          <w:rFonts w:ascii="宋体" w:hint="eastAsia"/>
          <w:color w:val="000000"/>
        </w:rPr>
      </w:pPr>
      <w:r>
        <w:rPr>
          <w:rFonts w:ascii="宋体" w:hint="eastAsia"/>
          <w:color w:val="000000"/>
          <w:spacing w:val="79"/>
        </w:rPr>
        <w:t>经济标得</w:t>
      </w:r>
      <w:r>
        <w:rPr>
          <w:rFonts w:ascii="宋体" w:hint="eastAsia"/>
          <w:color w:val="000000"/>
        </w:rPr>
        <w:t>分：A</w:t>
      </w:r>
      <w:r>
        <w:rPr>
          <w:rFonts w:ascii="宋体" w:hint="eastAsia"/>
          <w:color w:val="000000"/>
          <w:vertAlign w:val="subscript"/>
        </w:rPr>
        <w:t>1</w:t>
      </w:r>
      <w:r>
        <w:rPr>
          <w:rFonts w:ascii="宋体" w:hint="eastAsia"/>
          <w:color w:val="000000"/>
        </w:rPr>
        <w:t>，A</w:t>
      </w:r>
      <w:r>
        <w:rPr>
          <w:rFonts w:ascii="宋体" w:hint="eastAsia"/>
          <w:color w:val="000000"/>
          <w:vertAlign w:val="subscript"/>
        </w:rPr>
        <w:t>2</w:t>
      </w:r>
      <w:r>
        <w:rPr>
          <w:rFonts w:ascii="宋体" w:hint="eastAsia"/>
          <w:color w:val="000000"/>
        </w:rPr>
        <w:t>，A</w:t>
      </w:r>
      <w:r>
        <w:rPr>
          <w:rFonts w:ascii="宋体" w:hint="eastAsia"/>
          <w:color w:val="000000"/>
          <w:vertAlign w:val="subscript"/>
        </w:rPr>
        <w:t>3</w:t>
      </w:r>
      <w:r>
        <w:rPr>
          <w:rFonts w:ascii="宋体" w:hint="eastAsia"/>
          <w:color w:val="000000"/>
        </w:rPr>
        <w:t>……A</w:t>
      </w:r>
      <w:r>
        <w:rPr>
          <w:rFonts w:ascii="宋体" w:hint="eastAsia"/>
          <w:color w:val="000000"/>
          <w:vertAlign w:val="subscript"/>
        </w:rPr>
        <w:t>i</w:t>
      </w:r>
      <w:r>
        <w:rPr>
          <w:rFonts w:ascii="宋体" w:hint="eastAsia"/>
          <w:color w:val="000000"/>
        </w:rPr>
        <w:t>，A</w:t>
      </w:r>
      <w:r>
        <w:rPr>
          <w:rFonts w:ascii="宋体" w:hint="eastAsia"/>
          <w:color w:val="000000"/>
          <w:vertAlign w:val="subscript"/>
        </w:rPr>
        <w:t>n</w:t>
      </w:r>
    </w:p>
    <w:p w:rsidR="00771426" w:rsidRDefault="00771426" w:rsidP="00771426">
      <w:pPr>
        <w:snapToGrid w:val="0"/>
        <w:spacing w:line="360" w:lineRule="exact"/>
        <w:ind w:firstLine="1313"/>
        <w:rPr>
          <w:rFonts w:ascii="宋体" w:hint="eastAsia"/>
          <w:color w:val="000000"/>
        </w:rPr>
      </w:pPr>
      <w:r>
        <w:rPr>
          <w:rFonts w:ascii="宋体" w:hint="eastAsia"/>
          <w:color w:val="000000"/>
        </w:rPr>
        <w:t>A</w:t>
      </w:r>
      <w:r>
        <w:rPr>
          <w:rFonts w:ascii="宋体" w:hint="eastAsia"/>
          <w:color w:val="000000"/>
          <w:vertAlign w:val="subscript"/>
        </w:rPr>
        <w:t>i</w:t>
      </w:r>
      <w:r>
        <w:rPr>
          <w:rFonts w:ascii="宋体" w:hint="eastAsia"/>
          <w:color w:val="000000"/>
        </w:rPr>
        <w:t xml:space="preserve"> =10-[（</w:t>
      </w:r>
      <w:proofErr w:type="spellStart"/>
      <w:r>
        <w:rPr>
          <w:rFonts w:ascii="宋体" w:hint="eastAsia"/>
          <w:color w:val="000000"/>
        </w:rPr>
        <w:t>C</w:t>
      </w:r>
      <w:r>
        <w:rPr>
          <w:rFonts w:ascii="宋体" w:hint="eastAsia"/>
          <w:color w:val="000000"/>
          <w:vertAlign w:val="subscript"/>
        </w:rPr>
        <w:t>i</w:t>
      </w:r>
      <w:proofErr w:type="spellEnd"/>
      <w:r>
        <w:rPr>
          <w:rFonts w:ascii="宋体" w:hint="eastAsia"/>
          <w:color w:val="000000"/>
        </w:rPr>
        <w:t xml:space="preserve">-最低报价）/最低报价]×0.5×100          </w:t>
      </w:r>
    </w:p>
    <w:p w:rsidR="00771426" w:rsidRDefault="00771426" w:rsidP="00771426">
      <w:pPr>
        <w:snapToGrid w:val="0"/>
        <w:spacing w:line="360" w:lineRule="exact"/>
        <w:ind w:firstLine="420"/>
        <w:rPr>
          <w:rFonts w:ascii="宋体" w:hint="eastAsia"/>
          <w:color w:val="000000"/>
        </w:rPr>
      </w:pPr>
      <w:r>
        <w:rPr>
          <w:rFonts w:ascii="宋体" w:hint="eastAsia"/>
          <w:color w:val="000000"/>
        </w:rPr>
        <w:t>计算公式的计算结果值在小数点后均保留两位小数，后余位数四舍五入计。</w:t>
      </w:r>
    </w:p>
    <w:p w:rsidR="00771426" w:rsidRDefault="00771426" w:rsidP="00771426">
      <w:pPr>
        <w:snapToGrid w:val="0"/>
        <w:spacing w:line="360" w:lineRule="exact"/>
        <w:ind w:firstLine="420"/>
        <w:rPr>
          <w:rFonts w:ascii="宋体" w:hint="eastAsia"/>
          <w:color w:val="000000"/>
        </w:rPr>
      </w:pPr>
      <w:r>
        <w:rPr>
          <w:rFonts w:ascii="宋体" w:hint="eastAsia"/>
          <w:color w:val="000000"/>
        </w:rPr>
        <w:t>评标委员会按照投标人最终得分由高到底顺序确定出各投标人排名顺序。</w:t>
      </w:r>
    </w:p>
    <w:p w:rsidR="00771426" w:rsidRDefault="00771426" w:rsidP="00771426">
      <w:pPr>
        <w:snapToGrid w:val="0"/>
        <w:spacing w:before="240" w:after="120" w:line="360" w:lineRule="exact"/>
        <w:jc w:val="left"/>
        <w:rPr>
          <w:rFonts w:ascii="宋体" w:hint="eastAsia"/>
          <w:b/>
          <w:color w:val="000000"/>
          <w:sz w:val="28"/>
        </w:rPr>
      </w:pPr>
      <w:r>
        <w:rPr>
          <w:rFonts w:ascii="宋体" w:hint="eastAsia"/>
          <w:b/>
          <w:color w:val="000000"/>
          <w:sz w:val="28"/>
        </w:rPr>
        <w:t>7．投标文件的澄清</w:t>
      </w:r>
    </w:p>
    <w:p w:rsidR="00771426" w:rsidRDefault="00771426" w:rsidP="00771426">
      <w:pPr>
        <w:snapToGrid w:val="0"/>
        <w:spacing w:line="360" w:lineRule="exact"/>
        <w:ind w:firstLine="420"/>
        <w:rPr>
          <w:rFonts w:ascii="宋体" w:hint="eastAsia"/>
          <w:color w:val="000000"/>
        </w:rPr>
      </w:pPr>
      <w:r>
        <w:rPr>
          <w:rFonts w:ascii="宋体" w:hint="eastAsia"/>
          <w:color w:val="000000"/>
        </w:rPr>
        <w:t>（1）除按本办法规定的重大偏差外，投标文件存在的其他问题应视为细微偏差。为了有助于投标文件的审查、评价和比较，招标人可书面通知投标人澄清或说明其投标文件中不明确的内容，或要求补充相应资料或对细微偏差进行补正。对此投标人不得拒绝，否则，其投标将被否决，并没收其投标保证金。</w:t>
      </w:r>
    </w:p>
    <w:p w:rsidR="00771426" w:rsidRDefault="00771426" w:rsidP="00771426">
      <w:pPr>
        <w:snapToGrid w:val="0"/>
        <w:spacing w:line="360" w:lineRule="exact"/>
        <w:ind w:firstLine="420"/>
        <w:rPr>
          <w:rFonts w:ascii="宋体" w:hint="eastAsia"/>
          <w:color w:val="000000"/>
        </w:rPr>
      </w:pPr>
      <w:r>
        <w:rPr>
          <w:rFonts w:ascii="宋体" w:hint="eastAsia"/>
          <w:color w:val="000000"/>
        </w:rPr>
        <w:t>（2）有关澄清、说明和补正的要求和回答均以书面形式进行，但招标人和投标人均不得因此而提出改变招标文件或投标文件实质内容的要求。投标人的书面澄清、说明或补正属于投标文件的组成部分。</w:t>
      </w:r>
    </w:p>
    <w:p w:rsidR="00771426" w:rsidRDefault="00771426" w:rsidP="00771426">
      <w:pPr>
        <w:snapToGrid w:val="0"/>
        <w:spacing w:line="360" w:lineRule="exact"/>
        <w:ind w:firstLine="420"/>
        <w:rPr>
          <w:rFonts w:ascii="宋体" w:hint="eastAsia"/>
          <w:color w:val="000000"/>
        </w:rPr>
      </w:pPr>
      <w:r>
        <w:rPr>
          <w:rFonts w:ascii="宋体" w:hint="eastAsia"/>
          <w:color w:val="000000"/>
        </w:rPr>
        <w:t>（3）招标人不接受投标人对投标文件的主动澄清、说明和补正。</w:t>
      </w:r>
    </w:p>
    <w:p w:rsidR="00771426" w:rsidRDefault="00771426" w:rsidP="00771426">
      <w:pPr>
        <w:snapToGrid w:val="0"/>
        <w:spacing w:before="240" w:after="120" w:line="360" w:lineRule="exact"/>
        <w:jc w:val="left"/>
        <w:rPr>
          <w:rFonts w:ascii="宋体" w:hint="eastAsia"/>
          <w:b/>
          <w:color w:val="000000"/>
          <w:sz w:val="28"/>
        </w:rPr>
      </w:pPr>
      <w:r>
        <w:rPr>
          <w:rFonts w:ascii="宋体" w:hint="eastAsia"/>
          <w:b/>
          <w:color w:val="000000"/>
          <w:sz w:val="28"/>
        </w:rPr>
        <w:t>8．综合得分</w:t>
      </w:r>
    </w:p>
    <w:p w:rsidR="00771426" w:rsidRDefault="00771426" w:rsidP="00771426">
      <w:pPr>
        <w:snapToGrid w:val="0"/>
        <w:spacing w:line="360" w:lineRule="exact"/>
        <w:ind w:firstLine="420"/>
        <w:rPr>
          <w:rFonts w:ascii="宋体" w:hint="eastAsia"/>
          <w:color w:val="000000"/>
        </w:rPr>
      </w:pPr>
      <w:r>
        <w:rPr>
          <w:rFonts w:ascii="宋体" w:hint="eastAsia"/>
          <w:color w:val="000000"/>
        </w:rPr>
        <w:t>各投标人的综合得分等于技术评分、财务评分之</w:t>
      </w:r>
      <w:proofErr w:type="gramStart"/>
      <w:r>
        <w:rPr>
          <w:rFonts w:ascii="宋体" w:hint="eastAsia"/>
          <w:color w:val="000000"/>
        </w:rPr>
        <w:t>和</w:t>
      </w:r>
      <w:proofErr w:type="gramEnd"/>
      <w:r>
        <w:rPr>
          <w:rFonts w:ascii="宋体" w:hint="eastAsia"/>
          <w:color w:val="000000"/>
        </w:rPr>
        <w:t>。</w:t>
      </w:r>
    </w:p>
    <w:p w:rsidR="00771426" w:rsidRDefault="00771426" w:rsidP="00771426">
      <w:pPr>
        <w:snapToGrid w:val="0"/>
        <w:spacing w:before="120" w:after="120" w:line="360" w:lineRule="exact"/>
        <w:jc w:val="left"/>
        <w:rPr>
          <w:rFonts w:ascii="宋体" w:hint="eastAsia"/>
          <w:b/>
          <w:color w:val="000000"/>
          <w:sz w:val="28"/>
        </w:rPr>
      </w:pPr>
      <w:r>
        <w:rPr>
          <w:rFonts w:ascii="宋体" w:hint="eastAsia"/>
          <w:b/>
          <w:color w:val="000000"/>
          <w:sz w:val="28"/>
        </w:rPr>
        <w:t>9．推荐中标候选人</w:t>
      </w:r>
    </w:p>
    <w:p w:rsidR="00771426" w:rsidRDefault="00771426" w:rsidP="00771426">
      <w:pPr>
        <w:snapToGrid w:val="0"/>
        <w:spacing w:line="360" w:lineRule="exact"/>
        <w:ind w:firstLine="420"/>
        <w:rPr>
          <w:rFonts w:ascii="宋体" w:hint="eastAsia"/>
          <w:color w:val="000000"/>
        </w:rPr>
      </w:pPr>
      <w:r>
        <w:rPr>
          <w:rFonts w:ascii="宋体" w:hint="eastAsia"/>
          <w:color w:val="000000"/>
        </w:rPr>
        <w:t>根据综合得分由高至低排序，推荐得分最高者前三名为中标候选人。</w:t>
      </w:r>
    </w:p>
    <w:p w:rsidR="00771426" w:rsidRDefault="00771426" w:rsidP="00771426">
      <w:pPr>
        <w:snapToGrid w:val="0"/>
        <w:spacing w:before="120" w:after="120" w:line="360" w:lineRule="exact"/>
        <w:jc w:val="left"/>
        <w:rPr>
          <w:rFonts w:ascii="宋体" w:hint="eastAsia"/>
          <w:b/>
          <w:color w:val="000000"/>
          <w:sz w:val="28"/>
        </w:rPr>
      </w:pPr>
      <w:r>
        <w:rPr>
          <w:rFonts w:ascii="宋体" w:hint="eastAsia"/>
          <w:b/>
          <w:color w:val="000000"/>
          <w:sz w:val="28"/>
        </w:rPr>
        <w:t>10 .评标报告</w:t>
      </w:r>
    </w:p>
    <w:p w:rsidR="00771426" w:rsidRDefault="00771426" w:rsidP="00771426">
      <w:pPr>
        <w:snapToGrid w:val="0"/>
        <w:spacing w:line="360" w:lineRule="exact"/>
        <w:ind w:firstLine="420"/>
        <w:rPr>
          <w:rFonts w:ascii="宋体" w:hint="eastAsia"/>
          <w:color w:val="000000"/>
        </w:rPr>
      </w:pPr>
      <w:r>
        <w:rPr>
          <w:rFonts w:ascii="宋体" w:hint="eastAsia"/>
          <w:color w:val="000000"/>
        </w:rPr>
        <w:t>评标委员会审定评标结果后，向招标人提交书面报告。评标报告应如实记载下列内容：</w:t>
      </w:r>
    </w:p>
    <w:p w:rsidR="00771426" w:rsidRDefault="00771426" w:rsidP="00771426">
      <w:pPr>
        <w:snapToGrid w:val="0"/>
        <w:spacing w:line="360" w:lineRule="exact"/>
        <w:ind w:firstLine="420"/>
        <w:rPr>
          <w:rFonts w:ascii="宋体" w:hint="eastAsia"/>
          <w:color w:val="000000"/>
        </w:rPr>
      </w:pPr>
      <w:r>
        <w:rPr>
          <w:rFonts w:ascii="宋体" w:hint="eastAsia"/>
          <w:color w:val="000000"/>
        </w:rPr>
        <w:t>10.1   评标委员会的成员名单</w:t>
      </w:r>
    </w:p>
    <w:p w:rsidR="00771426" w:rsidRDefault="00771426" w:rsidP="00771426">
      <w:pPr>
        <w:snapToGrid w:val="0"/>
        <w:spacing w:line="360" w:lineRule="exact"/>
        <w:ind w:firstLine="420"/>
        <w:rPr>
          <w:rFonts w:ascii="宋体" w:hint="eastAsia"/>
          <w:color w:val="000000"/>
        </w:rPr>
      </w:pPr>
      <w:r>
        <w:rPr>
          <w:rFonts w:ascii="宋体" w:hint="eastAsia"/>
          <w:color w:val="000000"/>
        </w:rPr>
        <w:t>10.2   开标记录情况</w:t>
      </w:r>
    </w:p>
    <w:p w:rsidR="00771426" w:rsidRDefault="00771426" w:rsidP="00771426">
      <w:pPr>
        <w:snapToGrid w:val="0"/>
        <w:spacing w:line="360" w:lineRule="exact"/>
        <w:ind w:firstLine="420"/>
        <w:rPr>
          <w:rFonts w:ascii="宋体" w:hint="eastAsia"/>
          <w:color w:val="000000"/>
        </w:rPr>
      </w:pPr>
      <w:r>
        <w:rPr>
          <w:rFonts w:ascii="宋体" w:hint="eastAsia"/>
          <w:color w:val="000000"/>
        </w:rPr>
        <w:t>10.3   符合要求的投标人情况</w:t>
      </w:r>
    </w:p>
    <w:p w:rsidR="00771426" w:rsidRDefault="00771426" w:rsidP="00771426">
      <w:pPr>
        <w:snapToGrid w:val="0"/>
        <w:spacing w:line="360" w:lineRule="exact"/>
        <w:ind w:firstLine="420"/>
        <w:rPr>
          <w:rFonts w:ascii="宋体" w:hint="eastAsia"/>
          <w:color w:val="000000"/>
        </w:rPr>
      </w:pPr>
      <w:r>
        <w:rPr>
          <w:rFonts w:ascii="宋体" w:hint="eastAsia"/>
          <w:color w:val="000000"/>
        </w:rPr>
        <w:t>10.4   评标采用的标准、评标办法</w:t>
      </w:r>
      <w:bookmarkStart w:id="0" w:name="_GoBack"/>
      <w:bookmarkEnd w:id="0"/>
    </w:p>
    <w:p w:rsidR="00771426" w:rsidRDefault="00771426" w:rsidP="00771426">
      <w:pPr>
        <w:snapToGrid w:val="0"/>
        <w:spacing w:line="360" w:lineRule="exact"/>
        <w:ind w:firstLine="420"/>
        <w:rPr>
          <w:rFonts w:ascii="宋体" w:hint="eastAsia"/>
          <w:color w:val="000000"/>
        </w:rPr>
      </w:pPr>
      <w:r>
        <w:rPr>
          <w:rFonts w:ascii="宋体" w:hint="eastAsia"/>
          <w:color w:val="000000"/>
        </w:rPr>
        <w:t>10.5   投标人排序</w:t>
      </w:r>
    </w:p>
    <w:p w:rsidR="00771426" w:rsidRDefault="00771426" w:rsidP="00771426">
      <w:pPr>
        <w:snapToGrid w:val="0"/>
        <w:spacing w:line="360" w:lineRule="exact"/>
        <w:ind w:firstLine="420"/>
        <w:rPr>
          <w:rFonts w:ascii="宋体" w:hint="eastAsia"/>
          <w:color w:val="000000"/>
        </w:rPr>
      </w:pPr>
      <w:r>
        <w:rPr>
          <w:rFonts w:ascii="宋体" w:hint="eastAsia"/>
          <w:color w:val="000000"/>
        </w:rPr>
        <w:t>10.6   推荐的中标候选人</w:t>
      </w:r>
    </w:p>
    <w:p w:rsidR="00771426" w:rsidRDefault="00771426" w:rsidP="00771426">
      <w:pPr>
        <w:snapToGrid w:val="0"/>
        <w:spacing w:line="360" w:lineRule="exact"/>
        <w:ind w:firstLine="420"/>
        <w:rPr>
          <w:rFonts w:ascii="宋体" w:hint="eastAsia"/>
          <w:color w:val="000000"/>
        </w:rPr>
      </w:pPr>
      <w:r>
        <w:rPr>
          <w:rFonts w:ascii="宋体" w:hint="eastAsia"/>
          <w:color w:val="000000"/>
        </w:rPr>
        <w:t>10.7   需要说明的其他事项</w:t>
      </w:r>
    </w:p>
    <w:p w:rsidR="00771426" w:rsidRDefault="00771426" w:rsidP="00771426">
      <w:pPr>
        <w:snapToGrid w:val="0"/>
        <w:spacing w:line="360" w:lineRule="exact"/>
        <w:ind w:firstLine="420"/>
        <w:rPr>
          <w:rFonts w:ascii="宋体" w:hint="eastAsia"/>
          <w:color w:val="000000"/>
        </w:rPr>
      </w:pPr>
      <w:r>
        <w:rPr>
          <w:rFonts w:ascii="宋体" w:hint="eastAsia"/>
          <w:color w:val="000000"/>
        </w:rPr>
        <w:t>10.8   附件</w:t>
      </w:r>
    </w:p>
    <w:p w:rsidR="00771426" w:rsidRDefault="00771426" w:rsidP="00771426">
      <w:pPr>
        <w:snapToGrid w:val="0"/>
        <w:spacing w:line="360" w:lineRule="auto"/>
        <w:ind w:firstLine="420"/>
        <w:rPr>
          <w:rFonts w:ascii="宋体" w:hint="eastAsia"/>
          <w:color w:val="000000"/>
        </w:rPr>
      </w:pPr>
    </w:p>
    <w:p w:rsidR="00771426" w:rsidRDefault="00771426" w:rsidP="00771426">
      <w:pPr>
        <w:snapToGrid w:val="0"/>
        <w:spacing w:line="360" w:lineRule="auto"/>
        <w:ind w:firstLine="420"/>
        <w:rPr>
          <w:rFonts w:ascii="宋体" w:hint="eastAsia"/>
          <w:color w:val="000000"/>
        </w:rPr>
      </w:pPr>
    </w:p>
    <w:p w:rsidR="00771426" w:rsidRDefault="00771426" w:rsidP="00771426">
      <w:pPr>
        <w:snapToGrid w:val="0"/>
        <w:spacing w:line="360" w:lineRule="auto"/>
        <w:ind w:firstLine="420"/>
        <w:rPr>
          <w:rFonts w:ascii="宋体" w:hint="eastAsia"/>
          <w:color w:val="000000"/>
        </w:rPr>
      </w:pPr>
    </w:p>
    <w:p w:rsidR="00771426" w:rsidRDefault="00771426" w:rsidP="00771426">
      <w:pPr>
        <w:snapToGrid w:val="0"/>
        <w:spacing w:line="440" w:lineRule="exact"/>
        <w:ind w:firstLine="420"/>
        <w:rPr>
          <w:color w:val="000000"/>
        </w:rPr>
      </w:pPr>
    </w:p>
    <w:p w:rsidR="00955D43" w:rsidRPr="00771426" w:rsidRDefault="00955D43">
      <w:pPr>
        <w:rPr>
          <w:rFonts w:ascii="Calibri" w:hAnsi="Calibri" w:hint="eastAsia"/>
        </w:rPr>
      </w:pPr>
    </w:p>
    <w:sectPr w:rsidR="00955D43" w:rsidRPr="00771426">
      <w:pgSz w:w="11906" w:h="16838"/>
      <w:pgMar w:top="1701" w:right="1440" w:bottom="1440" w:left="1440" w:header="708" w:footer="708" w:gutter="0"/>
      <w:cols w:space="720"/>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2E" w:rsidRDefault="00D6202E" w:rsidP="007A3B24">
      <w:r>
        <w:separator/>
      </w:r>
    </w:p>
  </w:endnote>
  <w:endnote w:type="continuationSeparator" w:id="0">
    <w:p w:rsidR="00D6202E" w:rsidRDefault="00D6202E" w:rsidP="007A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MV Boli"/>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2E" w:rsidRDefault="00D6202E" w:rsidP="007A3B24">
      <w:r>
        <w:separator/>
      </w:r>
    </w:p>
  </w:footnote>
  <w:footnote w:type="continuationSeparator" w:id="0">
    <w:p w:rsidR="00D6202E" w:rsidRDefault="00D6202E" w:rsidP="007A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ExpandShiftReturn/>
    <w:growAutofit/>
    <w:useFELayout/>
    <w:useAltKinsokuLineBreakRules/>
    <w:splitPgBreakAndParaMark/>
    <w:compatSetting w:name="compatibilityMode" w:uri="http://schemas.microsoft.com/office/word" w:val="14"/>
  </w:compat>
  <w:rsids>
    <w:rsidRoot w:val="00955D43"/>
    <w:rsid w:val="00174210"/>
    <w:rsid w:val="00450DA6"/>
    <w:rsid w:val="00771426"/>
    <w:rsid w:val="007A3B24"/>
    <w:rsid w:val="00955D43"/>
    <w:rsid w:val="00D6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sz w:val="21"/>
      <w:szCs w:val="21"/>
    </w:rPr>
  </w:style>
  <w:style w:type="paragraph" w:styleId="1">
    <w:name w:val="heading 1"/>
    <w:pPr>
      <w:jc w:val="both"/>
      <w:outlineLvl w:val="0"/>
    </w:pPr>
    <w:rPr>
      <w:sz w:val="28"/>
      <w:szCs w:val="28"/>
    </w:rPr>
  </w:style>
  <w:style w:type="paragraph" w:styleId="2">
    <w:name w:val="heading 2"/>
    <w:pPr>
      <w:jc w:val="both"/>
      <w:outlineLvl w:val="1"/>
    </w:pPr>
    <w:rPr>
      <w:sz w:val="21"/>
      <w:szCs w:val="21"/>
    </w:rPr>
  </w:style>
  <w:style w:type="paragraph" w:styleId="3">
    <w:name w:val="heading 3"/>
    <w:pPr>
      <w:ind w:left="1000" w:hanging="400"/>
      <w:jc w:val="both"/>
      <w:outlineLvl w:val="2"/>
    </w:pPr>
    <w:rPr>
      <w:sz w:val="21"/>
      <w:szCs w:val="21"/>
    </w:rPr>
  </w:style>
  <w:style w:type="paragraph" w:styleId="4">
    <w:name w:val="heading 4"/>
    <w:pPr>
      <w:ind w:left="1200" w:hanging="400"/>
      <w:jc w:val="both"/>
      <w:outlineLvl w:val="3"/>
    </w:pPr>
    <w:rPr>
      <w:b/>
      <w:sz w:val="21"/>
      <w:szCs w:val="21"/>
    </w:rPr>
  </w:style>
  <w:style w:type="paragraph" w:styleId="5">
    <w:name w:val="heading 5"/>
    <w:pPr>
      <w:ind w:left="1400" w:hanging="400"/>
      <w:jc w:val="both"/>
      <w:outlineLvl w:val="4"/>
    </w:pPr>
    <w:rPr>
      <w:sz w:val="21"/>
      <w:szCs w:val="21"/>
    </w:rPr>
  </w:style>
  <w:style w:type="paragraph" w:styleId="6">
    <w:name w:val="heading 6"/>
    <w:pPr>
      <w:ind w:left="1600" w:hanging="400"/>
      <w:jc w:val="both"/>
      <w:outlineLvl w:val="5"/>
    </w:pPr>
    <w:rPr>
      <w:b/>
      <w:sz w:val="21"/>
      <w:szCs w:val="21"/>
    </w:rPr>
  </w:style>
  <w:style w:type="paragraph" w:styleId="7">
    <w:name w:val="heading 7"/>
    <w:pPr>
      <w:ind w:left="1800" w:hanging="400"/>
      <w:jc w:val="both"/>
      <w:outlineLvl w:val="6"/>
    </w:pPr>
    <w:rPr>
      <w:sz w:val="21"/>
      <w:szCs w:val="21"/>
    </w:rPr>
  </w:style>
  <w:style w:type="paragraph" w:styleId="8">
    <w:name w:val="heading 8"/>
    <w:pPr>
      <w:ind w:left="2000" w:hanging="400"/>
      <w:jc w:val="both"/>
      <w:outlineLvl w:val="7"/>
    </w:pPr>
    <w:rPr>
      <w:sz w:val="21"/>
      <w:szCs w:val="21"/>
    </w:rPr>
  </w:style>
  <w:style w:type="paragraph" w:styleId="9">
    <w:name w:val="heading 9"/>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pPr>
      <w:jc w:val="both"/>
    </w:pPr>
    <w:rPr>
      <w:sz w:val="21"/>
      <w:szCs w:val="21"/>
    </w:rPr>
  </w:style>
  <w:style w:type="paragraph" w:styleId="a3">
    <w:name w:val="Title"/>
    <w:pPr>
      <w:jc w:val="center"/>
    </w:pPr>
    <w:rPr>
      <w:b/>
      <w:sz w:val="32"/>
      <w:szCs w:val="32"/>
    </w:rPr>
  </w:style>
  <w:style w:type="paragraph" w:styleId="a4">
    <w:name w:val="Subtitle"/>
    <w:pPr>
      <w:jc w:val="center"/>
    </w:pPr>
    <w:rPr>
      <w:sz w:val="24"/>
      <w:szCs w:val="24"/>
    </w:rPr>
  </w:style>
  <w:style w:type="character" w:customStyle="1" w:styleId="11">
    <w:name w:val="不明显强调1"/>
    <w:rPr>
      <w:i/>
      <w:color w:val="404040"/>
      <w:w w:val="100"/>
      <w:sz w:val="21"/>
      <w:szCs w:val="21"/>
      <w:shd w:val="clear" w:color="auto" w:fill="auto"/>
    </w:rPr>
  </w:style>
  <w:style w:type="character" w:styleId="a5">
    <w:name w:val="Emphasis"/>
    <w:rPr>
      <w:i/>
      <w:w w:val="100"/>
      <w:sz w:val="21"/>
      <w:szCs w:val="21"/>
      <w:shd w:val="clear" w:color="auto" w:fill="auto"/>
    </w:rPr>
  </w:style>
  <w:style w:type="character" w:customStyle="1" w:styleId="12">
    <w:name w:val="明显强调1"/>
    <w:rPr>
      <w:i/>
      <w:color w:val="5B9BD5"/>
      <w:w w:val="100"/>
      <w:sz w:val="21"/>
      <w:szCs w:val="21"/>
      <w:shd w:val="clear" w:color="auto" w:fill="auto"/>
    </w:rPr>
  </w:style>
  <w:style w:type="character" w:styleId="a6">
    <w:name w:val="Strong"/>
    <w:rPr>
      <w:b/>
      <w:w w:val="100"/>
      <w:sz w:val="21"/>
      <w:szCs w:val="21"/>
      <w:shd w:val="clear" w:color="auto" w:fill="auto"/>
    </w:rPr>
  </w:style>
  <w:style w:type="paragraph" w:customStyle="1" w:styleId="13">
    <w:name w:val="引用1"/>
    <w:pPr>
      <w:ind w:left="864" w:right="864"/>
      <w:jc w:val="center"/>
    </w:pPr>
    <w:rPr>
      <w:i/>
      <w:color w:val="404040"/>
      <w:sz w:val="21"/>
      <w:szCs w:val="21"/>
    </w:rPr>
  </w:style>
  <w:style w:type="paragraph" w:customStyle="1" w:styleId="14">
    <w:name w:val="明显引用1"/>
    <w:pPr>
      <w:ind w:left="950" w:right="950"/>
      <w:jc w:val="center"/>
    </w:pPr>
    <w:rPr>
      <w:i/>
      <w:color w:val="5B9BD5"/>
      <w:sz w:val="21"/>
      <w:szCs w:val="21"/>
    </w:rPr>
  </w:style>
  <w:style w:type="character" w:customStyle="1" w:styleId="15">
    <w:name w:val="不明显参考1"/>
    <w:rPr>
      <w:caps w:val="0"/>
      <w:smallCaps/>
      <w:color w:val="5A5A5A"/>
      <w:w w:val="100"/>
      <w:sz w:val="21"/>
      <w:szCs w:val="21"/>
      <w:shd w:val="clear" w:color="auto" w:fill="auto"/>
    </w:rPr>
  </w:style>
  <w:style w:type="character" w:customStyle="1" w:styleId="16">
    <w:name w:val="明显参考1"/>
    <w:rPr>
      <w:b/>
      <w:caps w:val="0"/>
      <w:smallCaps/>
      <w:color w:val="5B9BD5"/>
      <w:w w:val="100"/>
      <w:sz w:val="21"/>
      <w:szCs w:val="21"/>
      <w:shd w:val="clear" w:color="auto" w:fill="auto"/>
    </w:rPr>
  </w:style>
  <w:style w:type="character" w:customStyle="1" w:styleId="17">
    <w:name w:val="书籍标题1"/>
    <w:rPr>
      <w:b/>
      <w:i/>
      <w:w w:val="100"/>
      <w:sz w:val="21"/>
      <w:szCs w:val="21"/>
      <w:shd w:val="clear" w:color="auto" w:fill="auto"/>
    </w:rPr>
  </w:style>
  <w:style w:type="paragraph" w:customStyle="1" w:styleId="18">
    <w:name w:val="列出段落1"/>
    <w:pPr>
      <w:ind w:left="850"/>
      <w:jc w:val="both"/>
    </w:pPr>
    <w:rPr>
      <w:sz w:val="21"/>
      <w:szCs w:val="21"/>
    </w:rPr>
  </w:style>
  <w:style w:type="paragraph" w:customStyle="1" w:styleId="TOC1">
    <w:name w:val="TOC 标题1"/>
    <w:pPr>
      <w:jc w:val="both"/>
    </w:pPr>
    <w:rPr>
      <w:color w:val="2E74B5"/>
      <w:sz w:val="32"/>
      <w:szCs w:val="32"/>
    </w:rPr>
  </w:style>
  <w:style w:type="paragraph" w:styleId="19">
    <w:name w:val="toc 1"/>
    <w:pPr>
      <w:jc w:val="both"/>
    </w:pPr>
    <w:rPr>
      <w:sz w:val="21"/>
      <w:szCs w:val="21"/>
    </w:rPr>
  </w:style>
  <w:style w:type="paragraph" w:styleId="20">
    <w:name w:val="toc 2"/>
    <w:pPr>
      <w:ind w:left="425"/>
      <w:jc w:val="both"/>
    </w:pPr>
    <w:rPr>
      <w:sz w:val="21"/>
      <w:szCs w:val="21"/>
    </w:rPr>
  </w:style>
  <w:style w:type="paragraph" w:styleId="30">
    <w:name w:val="toc 3"/>
    <w:pPr>
      <w:ind w:left="850"/>
      <w:jc w:val="both"/>
    </w:pPr>
    <w:rPr>
      <w:sz w:val="21"/>
      <w:szCs w:val="21"/>
    </w:rPr>
  </w:style>
  <w:style w:type="paragraph" w:styleId="40">
    <w:name w:val="toc 4"/>
    <w:pPr>
      <w:ind w:left="1275"/>
      <w:jc w:val="both"/>
    </w:pPr>
    <w:rPr>
      <w:sz w:val="21"/>
      <w:szCs w:val="21"/>
    </w:rPr>
  </w:style>
  <w:style w:type="paragraph" w:styleId="50">
    <w:name w:val="toc 5"/>
    <w:pPr>
      <w:ind w:left="1700"/>
      <w:jc w:val="both"/>
    </w:pPr>
    <w:rPr>
      <w:sz w:val="21"/>
      <w:szCs w:val="21"/>
    </w:rPr>
  </w:style>
  <w:style w:type="paragraph" w:styleId="60">
    <w:name w:val="toc 6"/>
    <w:pPr>
      <w:ind w:left="2125"/>
      <w:jc w:val="both"/>
    </w:pPr>
    <w:rPr>
      <w:sz w:val="21"/>
      <w:szCs w:val="21"/>
    </w:rPr>
  </w:style>
  <w:style w:type="paragraph" w:styleId="70">
    <w:name w:val="toc 7"/>
    <w:pPr>
      <w:ind w:left="2550"/>
      <w:jc w:val="both"/>
    </w:pPr>
    <w:rPr>
      <w:sz w:val="21"/>
      <w:szCs w:val="21"/>
    </w:rPr>
  </w:style>
  <w:style w:type="paragraph" w:styleId="80">
    <w:name w:val="toc 8"/>
    <w:pPr>
      <w:ind w:left="2975"/>
      <w:jc w:val="both"/>
    </w:pPr>
    <w:rPr>
      <w:sz w:val="21"/>
      <w:szCs w:val="21"/>
    </w:rPr>
  </w:style>
  <w:style w:type="paragraph" w:styleId="90">
    <w:name w:val="toc 9"/>
    <w:pPr>
      <w:ind w:left="3400"/>
      <w:jc w:val="both"/>
    </w:pPr>
    <w:rPr>
      <w:sz w:val="21"/>
      <w:szCs w:val="21"/>
    </w:rPr>
  </w:style>
  <w:style w:type="paragraph" w:styleId="a7">
    <w:name w:val="header"/>
    <w:basedOn w:val="a"/>
    <w:link w:val="Char"/>
    <w:uiPriority w:val="99"/>
    <w:unhideWhenUsed/>
    <w:rsid w:val="007A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A3B24"/>
    <w:rPr>
      <w:sz w:val="18"/>
      <w:szCs w:val="18"/>
    </w:rPr>
  </w:style>
  <w:style w:type="paragraph" w:styleId="a8">
    <w:name w:val="footer"/>
    <w:basedOn w:val="a"/>
    <w:link w:val="Char0"/>
    <w:uiPriority w:val="99"/>
    <w:unhideWhenUsed/>
    <w:rsid w:val="007A3B24"/>
    <w:pPr>
      <w:tabs>
        <w:tab w:val="center" w:pos="4153"/>
        <w:tab w:val="right" w:pos="8306"/>
      </w:tabs>
      <w:snapToGrid w:val="0"/>
      <w:jc w:val="left"/>
    </w:pPr>
    <w:rPr>
      <w:sz w:val="18"/>
      <w:szCs w:val="18"/>
    </w:rPr>
  </w:style>
  <w:style w:type="character" w:customStyle="1" w:styleId="Char0">
    <w:name w:val="页脚 Char"/>
    <w:basedOn w:val="a0"/>
    <w:link w:val="a8"/>
    <w:uiPriority w:val="99"/>
    <w:rsid w:val="007A3B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sz w:val="21"/>
      <w:szCs w:val="21"/>
    </w:rPr>
  </w:style>
  <w:style w:type="paragraph" w:styleId="1">
    <w:name w:val="heading 1"/>
    <w:pPr>
      <w:jc w:val="both"/>
      <w:outlineLvl w:val="0"/>
    </w:pPr>
    <w:rPr>
      <w:sz w:val="28"/>
      <w:szCs w:val="28"/>
    </w:rPr>
  </w:style>
  <w:style w:type="paragraph" w:styleId="2">
    <w:name w:val="heading 2"/>
    <w:pPr>
      <w:jc w:val="both"/>
      <w:outlineLvl w:val="1"/>
    </w:pPr>
    <w:rPr>
      <w:sz w:val="21"/>
      <w:szCs w:val="21"/>
    </w:rPr>
  </w:style>
  <w:style w:type="paragraph" w:styleId="3">
    <w:name w:val="heading 3"/>
    <w:pPr>
      <w:ind w:left="1000" w:hanging="400"/>
      <w:jc w:val="both"/>
      <w:outlineLvl w:val="2"/>
    </w:pPr>
    <w:rPr>
      <w:sz w:val="21"/>
      <w:szCs w:val="21"/>
    </w:rPr>
  </w:style>
  <w:style w:type="paragraph" w:styleId="4">
    <w:name w:val="heading 4"/>
    <w:pPr>
      <w:ind w:left="1200" w:hanging="400"/>
      <w:jc w:val="both"/>
      <w:outlineLvl w:val="3"/>
    </w:pPr>
    <w:rPr>
      <w:b/>
      <w:sz w:val="21"/>
      <w:szCs w:val="21"/>
    </w:rPr>
  </w:style>
  <w:style w:type="paragraph" w:styleId="5">
    <w:name w:val="heading 5"/>
    <w:pPr>
      <w:ind w:left="1400" w:hanging="400"/>
      <w:jc w:val="both"/>
      <w:outlineLvl w:val="4"/>
    </w:pPr>
    <w:rPr>
      <w:sz w:val="21"/>
      <w:szCs w:val="21"/>
    </w:rPr>
  </w:style>
  <w:style w:type="paragraph" w:styleId="6">
    <w:name w:val="heading 6"/>
    <w:pPr>
      <w:ind w:left="1600" w:hanging="400"/>
      <w:jc w:val="both"/>
      <w:outlineLvl w:val="5"/>
    </w:pPr>
    <w:rPr>
      <w:b/>
      <w:sz w:val="21"/>
      <w:szCs w:val="21"/>
    </w:rPr>
  </w:style>
  <w:style w:type="paragraph" w:styleId="7">
    <w:name w:val="heading 7"/>
    <w:pPr>
      <w:ind w:left="1800" w:hanging="400"/>
      <w:jc w:val="both"/>
      <w:outlineLvl w:val="6"/>
    </w:pPr>
    <w:rPr>
      <w:sz w:val="21"/>
      <w:szCs w:val="21"/>
    </w:rPr>
  </w:style>
  <w:style w:type="paragraph" w:styleId="8">
    <w:name w:val="heading 8"/>
    <w:pPr>
      <w:ind w:left="2000" w:hanging="400"/>
      <w:jc w:val="both"/>
      <w:outlineLvl w:val="7"/>
    </w:pPr>
    <w:rPr>
      <w:sz w:val="21"/>
      <w:szCs w:val="21"/>
    </w:rPr>
  </w:style>
  <w:style w:type="paragraph" w:styleId="9">
    <w:name w:val="heading 9"/>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pPr>
      <w:jc w:val="both"/>
    </w:pPr>
    <w:rPr>
      <w:sz w:val="21"/>
      <w:szCs w:val="21"/>
    </w:rPr>
  </w:style>
  <w:style w:type="paragraph" w:styleId="a3">
    <w:name w:val="Title"/>
    <w:pPr>
      <w:jc w:val="center"/>
    </w:pPr>
    <w:rPr>
      <w:b/>
      <w:sz w:val="32"/>
      <w:szCs w:val="32"/>
    </w:rPr>
  </w:style>
  <w:style w:type="paragraph" w:styleId="a4">
    <w:name w:val="Subtitle"/>
    <w:pPr>
      <w:jc w:val="center"/>
    </w:pPr>
    <w:rPr>
      <w:sz w:val="24"/>
      <w:szCs w:val="24"/>
    </w:rPr>
  </w:style>
  <w:style w:type="character" w:customStyle="1" w:styleId="11">
    <w:name w:val="不明显强调1"/>
    <w:rPr>
      <w:i/>
      <w:color w:val="404040"/>
      <w:w w:val="100"/>
      <w:sz w:val="21"/>
      <w:szCs w:val="21"/>
      <w:shd w:val="clear" w:color="auto" w:fill="auto"/>
    </w:rPr>
  </w:style>
  <w:style w:type="character" w:styleId="a5">
    <w:name w:val="Emphasis"/>
    <w:rPr>
      <w:i/>
      <w:w w:val="100"/>
      <w:sz w:val="21"/>
      <w:szCs w:val="21"/>
      <w:shd w:val="clear" w:color="auto" w:fill="auto"/>
    </w:rPr>
  </w:style>
  <w:style w:type="character" w:customStyle="1" w:styleId="12">
    <w:name w:val="明显强调1"/>
    <w:rPr>
      <w:i/>
      <w:color w:val="5B9BD5"/>
      <w:w w:val="100"/>
      <w:sz w:val="21"/>
      <w:szCs w:val="21"/>
      <w:shd w:val="clear" w:color="auto" w:fill="auto"/>
    </w:rPr>
  </w:style>
  <w:style w:type="character" w:styleId="a6">
    <w:name w:val="Strong"/>
    <w:rPr>
      <w:b/>
      <w:w w:val="100"/>
      <w:sz w:val="21"/>
      <w:szCs w:val="21"/>
      <w:shd w:val="clear" w:color="auto" w:fill="auto"/>
    </w:rPr>
  </w:style>
  <w:style w:type="paragraph" w:customStyle="1" w:styleId="13">
    <w:name w:val="引用1"/>
    <w:pPr>
      <w:ind w:left="864" w:right="864"/>
      <w:jc w:val="center"/>
    </w:pPr>
    <w:rPr>
      <w:i/>
      <w:color w:val="404040"/>
      <w:sz w:val="21"/>
      <w:szCs w:val="21"/>
    </w:rPr>
  </w:style>
  <w:style w:type="paragraph" w:customStyle="1" w:styleId="14">
    <w:name w:val="明显引用1"/>
    <w:pPr>
      <w:ind w:left="950" w:right="950"/>
      <w:jc w:val="center"/>
    </w:pPr>
    <w:rPr>
      <w:i/>
      <w:color w:val="5B9BD5"/>
      <w:sz w:val="21"/>
      <w:szCs w:val="21"/>
    </w:rPr>
  </w:style>
  <w:style w:type="character" w:customStyle="1" w:styleId="15">
    <w:name w:val="不明显参考1"/>
    <w:rPr>
      <w:caps w:val="0"/>
      <w:smallCaps/>
      <w:color w:val="5A5A5A"/>
      <w:w w:val="100"/>
      <w:sz w:val="21"/>
      <w:szCs w:val="21"/>
      <w:shd w:val="clear" w:color="auto" w:fill="auto"/>
    </w:rPr>
  </w:style>
  <w:style w:type="character" w:customStyle="1" w:styleId="16">
    <w:name w:val="明显参考1"/>
    <w:rPr>
      <w:b/>
      <w:caps w:val="0"/>
      <w:smallCaps/>
      <w:color w:val="5B9BD5"/>
      <w:w w:val="100"/>
      <w:sz w:val="21"/>
      <w:szCs w:val="21"/>
      <w:shd w:val="clear" w:color="auto" w:fill="auto"/>
    </w:rPr>
  </w:style>
  <w:style w:type="character" w:customStyle="1" w:styleId="17">
    <w:name w:val="书籍标题1"/>
    <w:rPr>
      <w:b/>
      <w:i/>
      <w:w w:val="100"/>
      <w:sz w:val="21"/>
      <w:szCs w:val="21"/>
      <w:shd w:val="clear" w:color="auto" w:fill="auto"/>
    </w:rPr>
  </w:style>
  <w:style w:type="paragraph" w:customStyle="1" w:styleId="18">
    <w:name w:val="列出段落1"/>
    <w:pPr>
      <w:ind w:left="850"/>
      <w:jc w:val="both"/>
    </w:pPr>
    <w:rPr>
      <w:sz w:val="21"/>
      <w:szCs w:val="21"/>
    </w:rPr>
  </w:style>
  <w:style w:type="paragraph" w:customStyle="1" w:styleId="TOC1">
    <w:name w:val="TOC 标题1"/>
    <w:pPr>
      <w:jc w:val="both"/>
    </w:pPr>
    <w:rPr>
      <w:color w:val="2E74B5"/>
      <w:sz w:val="32"/>
      <w:szCs w:val="32"/>
    </w:rPr>
  </w:style>
  <w:style w:type="paragraph" w:styleId="19">
    <w:name w:val="toc 1"/>
    <w:pPr>
      <w:jc w:val="both"/>
    </w:pPr>
    <w:rPr>
      <w:sz w:val="21"/>
      <w:szCs w:val="21"/>
    </w:rPr>
  </w:style>
  <w:style w:type="paragraph" w:styleId="20">
    <w:name w:val="toc 2"/>
    <w:pPr>
      <w:ind w:left="425"/>
      <w:jc w:val="both"/>
    </w:pPr>
    <w:rPr>
      <w:sz w:val="21"/>
      <w:szCs w:val="21"/>
    </w:rPr>
  </w:style>
  <w:style w:type="paragraph" w:styleId="30">
    <w:name w:val="toc 3"/>
    <w:pPr>
      <w:ind w:left="850"/>
      <w:jc w:val="both"/>
    </w:pPr>
    <w:rPr>
      <w:sz w:val="21"/>
      <w:szCs w:val="21"/>
    </w:rPr>
  </w:style>
  <w:style w:type="paragraph" w:styleId="40">
    <w:name w:val="toc 4"/>
    <w:pPr>
      <w:ind w:left="1275"/>
      <w:jc w:val="both"/>
    </w:pPr>
    <w:rPr>
      <w:sz w:val="21"/>
      <w:szCs w:val="21"/>
    </w:rPr>
  </w:style>
  <w:style w:type="paragraph" w:styleId="50">
    <w:name w:val="toc 5"/>
    <w:pPr>
      <w:ind w:left="1700"/>
      <w:jc w:val="both"/>
    </w:pPr>
    <w:rPr>
      <w:sz w:val="21"/>
      <w:szCs w:val="21"/>
    </w:rPr>
  </w:style>
  <w:style w:type="paragraph" w:styleId="60">
    <w:name w:val="toc 6"/>
    <w:pPr>
      <w:ind w:left="2125"/>
      <w:jc w:val="both"/>
    </w:pPr>
    <w:rPr>
      <w:sz w:val="21"/>
      <w:szCs w:val="21"/>
    </w:rPr>
  </w:style>
  <w:style w:type="paragraph" w:styleId="70">
    <w:name w:val="toc 7"/>
    <w:pPr>
      <w:ind w:left="2550"/>
      <w:jc w:val="both"/>
    </w:pPr>
    <w:rPr>
      <w:sz w:val="21"/>
      <w:szCs w:val="21"/>
    </w:rPr>
  </w:style>
  <w:style w:type="paragraph" w:styleId="80">
    <w:name w:val="toc 8"/>
    <w:pPr>
      <w:ind w:left="2975"/>
      <w:jc w:val="both"/>
    </w:pPr>
    <w:rPr>
      <w:sz w:val="21"/>
      <w:szCs w:val="21"/>
    </w:rPr>
  </w:style>
  <w:style w:type="paragraph" w:styleId="90">
    <w:name w:val="toc 9"/>
    <w:pPr>
      <w:ind w:left="3400"/>
      <w:jc w:val="both"/>
    </w:pPr>
    <w:rPr>
      <w:sz w:val="21"/>
      <w:szCs w:val="21"/>
    </w:rPr>
  </w:style>
  <w:style w:type="paragraph" w:styleId="a7">
    <w:name w:val="header"/>
    <w:basedOn w:val="a"/>
    <w:link w:val="Char"/>
    <w:uiPriority w:val="99"/>
    <w:unhideWhenUsed/>
    <w:rsid w:val="007A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A3B24"/>
    <w:rPr>
      <w:sz w:val="18"/>
      <w:szCs w:val="18"/>
    </w:rPr>
  </w:style>
  <w:style w:type="paragraph" w:styleId="a8">
    <w:name w:val="footer"/>
    <w:basedOn w:val="a"/>
    <w:link w:val="Char0"/>
    <w:uiPriority w:val="99"/>
    <w:unhideWhenUsed/>
    <w:rsid w:val="007A3B24"/>
    <w:pPr>
      <w:tabs>
        <w:tab w:val="center" w:pos="4153"/>
        <w:tab w:val="right" w:pos="8306"/>
      </w:tabs>
      <w:snapToGrid w:val="0"/>
      <w:jc w:val="left"/>
    </w:pPr>
    <w:rPr>
      <w:sz w:val="18"/>
      <w:szCs w:val="18"/>
    </w:rPr>
  </w:style>
  <w:style w:type="character" w:customStyle="1" w:styleId="Char0">
    <w:name w:val="页脚 Char"/>
    <w:basedOn w:val="a0"/>
    <w:link w:val="a8"/>
    <w:uiPriority w:val="99"/>
    <w:rsid w:val="007A3B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450</Words>
  <Characters>2566</Characters>
  <Application>Microsoft Office Word</Application>
  <DocSecurity>0</DocSecurity>
  <Lines>21</Lines>
  <Paragraphs>6</Paragraphs>
  <ScaleCrop>false</ScaleCrop>
  <Company>china</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2017-11-13T04:25:00Z</dcterms:created>
  <dcterms:modified xsi:type="dcterms:W3CDTF">2017-11-15T02:41:00Z</dcterms:modified>
</cp:coreProperties>
</file>