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outlineLvl w:val="3"/>
        <w:rPr>
          <w:rFonts w:ascii="宋体" w:hAnsi="宋体"/>
          <w:b/>
          <w:kern w:val="0"/>
          <w:sz w:val="21"/>
          <w:szCs w:val="21"/>
        </w:rPr>
      </w:pPr>
      <w:r>
        <w:rPr>
          <w:rFonts w:hint="eastAsia" w:ascii="宋体" w:hAnsi="宋体"/>
          <w:b/>
          <w:sz w:val="21"/>
          <w:szCs w:val="21"/>
        </w:rPr>
        <w:t>附件6  评标办法</w:t>
      </w:r>
    </w:p>
    <w:p>
      <w:pPr>
        <w:spacing w:line="520" w:lineRule="exact"/>
        <w:ind w:firstLine="422" w:firstLineChars="200"/>
        <w:jc w:val="center"/>
        <w:rPr>
          <w:rFonts w:ascii="宋体" w:hAnsi="宋体"/>
          <w:b/>
          <w:kern w:val="0"/>
          <w:sz w:val="21"/>
          <w:szCs w:val="21"/>
        </w:rPr>
      </w:pPr>
      <w:r>
        <w:rPr>
          <w:rFonts w:hint="eastAsia" w:ascii="宋体" w:hAnsi="宋体"/>
          <w:b/>
          <w:kern w:val="0"/>
          <w:sz w:val="21"/>
          <w:szCs w:val="21"/>
          <w:u w:val="single"/>
        </w:rPr>
        <w:t>新疆生产建设兵团第十师S318-187团-183团-青河农场公路工程建设项目（二期）第监理合同段监理招标公告</w:t>
      </w:r>
    </w:p>
    <w:p>
      <w:pPr>
        <w:keepNext w:val="0"/>
        <w:keepLines w:val="0"/>
        <w:pageBreakBefore w:val="0"/>
        <w:widowControl w:val="0"/>
        <w:kinsoku/>
        <w:wordWrap/>
        <w:overflowPunct/>
        <w:topLinePunct w:val="0"/>
        <w:autoSpaceDE/>
        <w:autoSpaceDN/>
        <w:bidi w:val="0"/>
        <w:adjustRightInd/>
        <w:snapToGrid/>
        <w:spacing w:before="240" w:after="360" w:line="240" w:lineRule="atLeast"/>
        <w:jc w:val="center"/>
        <w:textAlignment w:val="auto"/>
        <w:rPr>
          <w:rFonts w:hint="eastAsia" w:ascii="宋体" w:hAnsi="宋体"/>
          <w:b/>
          <w:bCs/>
          <w:spacing w:val="-6"/>
          <w:sz w:val="22"/>
          <w:szCs w:val="22"/>
        </w:rPr>
      </w:pPr>
      <w:bookmarkStart w:id="21" w:name="_GoBack"/>
      <w:bookmarkEnd w:id="21"/>
      <w:r>
        <w:rPr>
          <w:rFonts w:hint="eastAsia" w:ascii="宋体" w:hAnsi="宋体"/>
          <w:b/>
          <w:bCs/>
          <w:spacing w:val="-6"/>
          <w:sz w:val="22"/>
          <w:szCs w:val="22"/>
        </w:rPr>
        <w:t>监理招标评标办法</w:t>
      </w:r>
    </w:p>
    <w:p>
      <w:pPr>
        <w:keepNext w:val="0"/>
        <w:keepLines w:val="0"/>
        <w:pageBreakBefore w:val="0"/>
        <w:widowControl w:val="0"/>
        <w:kinsoku/>
        <w:wordWrap/>
        <w:overflowPunct/>
        <w:topLinePunct w:val="0"/>
        <w:autoSpaceDE/>
        <w:autoSpaceDN/>
        <w:bidi w:val="0"/>
        <w:adjustRightInd/>
        <w:snapToGrid/>
        <w:spacing w:before="240" w:after="240" w:line="240" w:lineRule="atLeast"/>
        <w:jc w:val="left"/>
        <w:textAlignment w:val="auto"/>
        <w:outlineLvl w:val="2"/>
        <w:rPr>
          <w:rFonts w:ascii="宋体" w:hAnsi="宋体"/>
          <w:b/>
          <w:bCs/>
          <w:sz w:val="28"/>
        </w:rPr>
      </w:pPr>
      <w:bookmarkStart w:id="0" w:name="_Toc15264"/>
      <w:bookmarkStart w:id="1" w:name="_Toc222740127"/>
      <w:r>
        <w:rPr>
          <w:rFonts w:ascii="宋体" w:hAnsi="宋体"/>
          <w:b/>
          <w:bCs/>
          <w:sz w:val="28"/>
        </w:rPr>
        <w:t>1．总则</w:t>
      </w:r>
      <w:bookmarkEnd w:id="0"/>
      <w:bookmarkEnd w:id="1"/>
    </w:p>
    <w:p>
      <w:pPr>
        <w:spacing w:line="440" w:lineRule="exact"/>
        <w:ind w:firstLine="420" w:firstLineChars="200"/>
        <w:rPr>
          <w:rFonts w:ascii="宋体" w:hAnsi="宋体"/>
          <w:bCs/>
          <w:szCs w:val="21"/>
        </w:rPr>
      </w:pPr>
      <w:r>
        <w:rPr>
          <w:rFonts w:ascii="宋体" w:hAnsi="宋体"/>
          <w:bCs/>
          <w:szCs w:val="21"/>
        </w:rPr>
        <w:t>1.1  为规范本</w:t>
      </w:r>
      <w:r>
        <w:rPr>
          <w:rFonts w:hint="eastAsia" w:ascii="宋体" w:hAnsi="宋体"/>
          <w:bCs/>
          <w:szCs w:val="21"/>
        </w:rPr>
        <w:t>工程</w:t>
      </w:r>
      <w:r>
        <w:rPr>
          <w:rFonts w:ascii="宋体" w:hAnsi="宋体"/>
          <w:bCs/>
          <w:szCs w:val="21"/>
        </w:rPr>
        <w:t>施工监理评标工作，根据《中华人民共和国招标投标法》、《评标委员会和评标方法暂行规定》</w:t>
      </w:r>
      <w:r>
        <w:rPr>
          <w:rFonts w:hint="eastAsia" w:ascii="宋体" w:hAnsi="宋体"/>
          <w:bCs/>
          <w:szCs w:val="21"/>
        </w:rPr>
        <w:t>（</w:t>
      </w:r>
      <w:r>
        <w:rPr>
          <w:rFonts w:ascii="宋体" w:hAnsi="宋体"/>
          <w:bCs/>
          <w:szCs w:val="21"/>
        </w:rPr>
        <w:t>国家</w:t>
      </w:r>
      <w:r>
        <w:rPr>
          <w:rFonts w:hint="eastAsia" w:ascii="宋体" w:hAnsi="宋体"/>
          <w:bCs/>
          <w:szCs w:val="21"/>
        </w:rPr>
        <w:t>发改委等</w:t>
      </w:r>
      <w:r>
        <w:rPr>
          <w:rFonts w:ascii="宋体" w:hAnsi="宋体"/>
          <w:bCs/>
          <w:szCs w:val="21"/>
        </w:rPr>
        <w:t>七部委</w:t>
      </w:r>
      <w:r>
        <w:rPr>
          <w:rFonts w:hint="eastAsia" w:ascii="宋体" w:hAnsi="宋体"/>
          <w:bCs/>
          <w:szCs w:val="21"/>
        </w:rPr>
        <w:t>2001年第12号令）</w:t>
      </w:r>
      <w:r>
        <w:rPr>
          <w:rFonts w:ascii="宋体" w:hAnsi="宋体"/>
          <w:bCs/>
          <w:szCs w:val="21"/>
        </w:rPr>
        <w:t>、《公路工程施工监理招标投标管理办法》</w:t>
      </w:r>
      <w:r>
        <w:rPr>
          <w:rFonts w:hint="eastAsia" w:ascii="宋体" w:hAnsi="宋体"/>
          <w:bCs/>
          <w:szCs w:val="21"/>
        </w:rPr>
        <w:t>（</w:t>
      </w:r>
      <w:r>
        <w:rPr>
          <w:rFonts w:ascii="宋体" w:hAnsi="宋体"/>
          <w:bCs/>
          <w:szCs w:val="21"/>
        </w:rPr>
        <w:t>交通部</w:t>
      </w:r>
      <w:r>
        <w:rPr>
          <w:rFonts w:hint="eastAsia" w:ascii="宋体" w:hAnsi="宋体"/>
          <w:bCs/>
          <w:szCs w:val="21"/>
        </w:rPr>
        <w:t>2006年第5号令）</w:t>
      </w:r>
      <w:r>
        <w:rPr>
          <w:rFonts w:ascii="宋体" w:hAnsi="宋体"/>
          <w:bCs/>
          <w:szCs w:val="21"/>
        </w:rPr>
        <w:t>及《建设工程监理与相关服务收费管理规定》</w:t>
      </w:r>
      <w:r>
        <w:rPr>
          <w:rFonts w:hint="eastAsia" w:ascii="宋体" w:hAnsi="宋体"/>
          <w:bCs/>
          <w:szCs w:val="21"/>
        </w:rPr>
        <w:t>（发改价格[2007]670号）</w:t>
      </w:r>
      <w:r>
        <w:rPr>
          <w:rFonts w:ascii="宋体" w:hAnsi="宋体"/>
          <w:bCs/>
          <w:szCs w:val="21"/>
        </w:rPr>
        <w:t>等有关规定，并结合本</w:t>
      </w:r>
      <w:r>
        <w:rPr>
          <w:rFonts w:hint="eastAsia" w:ascii="宋体" w:hAnsi="宋体"/>
          <w:bCs/>
          <w:szCs w:val="21"/>
        </w:rPr>
        <w:t>工程</w:t>
      </w:r>
      <w:r>
        <w:rPr>
          <w:rFonts w:ascii="宋体" w:hAnsi="宋体"/>
          <w:bCs/>
          <w:szCs w:val="21"/>
        </w:rPr>
        <w:t>招标文件，制订本评标办法。</w:t>
      </w:r>
    </w:p>
    <w:p>
      <w:pPr>
        <w:spacing w:line="440" w:lineRule="exact"/>
        <w:ind w:firstLine="420" w:firstLineChars="200"/>
        <w:rPr>
          <w:rFonts w:ascii="宋体" w:hAnsi="宋体"/>
          <w:bCs/>
          <w:szCs w:val="21"/>
        </w:rPr>
      </w:pPr>
      <w:r>
        <w:rPr>
          <w:rFonts w:ascii="宋体" w:hAnsi="宋体"/>
          <w:bCs/>
          <w:szCs w:val="21"/>
        </w:rPr>
        <w:t>1.2  评标活动遵循公平、公正、科学、择优的原则。</w:t>
      </w:r>
    </w:p>
    <w:p>
      <w:pPr>
        <w:spacing w:line="440" w:lineRule="exact"/>
        <w:ind w:firstLine="420" w:firstLineChars="200"/>
        <w:rPr>
          <w:rFonts w:ascii="宋体" w:hAnsi="宋体"/>
          <w:bCs/>
          <w:szCs w:val="21"/>
        </w:rPr>
      </w:pPr>
      <w:r>
        <w:rPr>
          <w:rFonts w:ascii="宋体" w:hAnsi="宋体"/>
          <w:bCs/>
          <w:szCs w:val="21"/>
        </w:rPr>
        <w:t>1.3  评标活动应在严格保密的情况下进行。评标人员必须严格遵守保密规定，不得和投标人串</w:t>
      </w:r>
      <w:r>
        <w:rPr>
          <w:rFonts w:hint="eastAsia" w:ascii="宋体" w:hAnsi="宋体"/>
          <w:bCs/>
          <w:szCs w:val="21"/>
        </w:rPr>
        <w:t>通</w:t>
      </w:r>
      <w:r>
        <w:rPr>
          <w:rFonts w:ascii="宋体" w:hAnsi="宋体"/>
          <w:bCs/>
          <w:szCs w:val="21"/>
        </w:rPr>
        <w:t>，不得泄露与评标活动有关的情况，不得索贿受贿，不得参加可能影响公正评标的任何活动。评标期间投标人不得干扰评标工作，不得采用行贿或其他不正当手段影响评标。</w:t>
      </w:r>
    </w:p>
    <w:p>
      <w:pPr>
        <w:spacing w:line="440" w:lineRule="exact"/>
        <w:ind w:firstLine="420" w:firstLineChars="200"/>
        <w:rPr>
          <w:rFonts w:ascii="宋体" w:hAnsi="宋体"/>
          <w:bCs/>
          <w:szCs w:val="21"/>
        </w:rPr>
      </w:pPr>
      <w:r>
        <w:rPr>
          <w:rFonts w:ascii="宋体" w:hAnsi="宋体"/>
          <w:bCs/>
          <w:szCs w:val="21"/>
        </w:rPr>
        <w:t>1.4  本项目评标采用</w:t>
      </w:r>
      <w:r>
        <w:rPr>
          <w:rFonts w:ascii="宋体" w:hAnsi="宋体"/>
          <w:bCs/>
          <w:szCs w:val="21"/>
          <w:u w:val="single"/>
        </w:rPr>
        <w:t xml:space="preserve"> </w:t>
      </w:r>
      <w:r>
        <w:rPr>
          <w:rFonts w:hint="eastAsia" w:ascii="宋体" w:hAnsi="宋体"/>
          <w:b/>
          <w:szCs w:val="21"/>
          <w:u w:val="single"/>
        </w:rPr>
        <w:t xml:space="preserve">综合评估法 </w:t>
      </w:r>
      <w:r>
        <w:rPr>
          <w:rFonts w:hint="eastAsia" w:ascii="宋体" w:hAnsi="宋体"/>
          <w:bCs/>
          <w:szCs w:val="21"/>
          <w:u w:val="single"/>
        </w:rPr>
        <w:t xml:space="preserve"> </w:t>
      </w:r>
      <w:r>
        <w:rPr>
          <w:rFonts w:ascii="宋体" w:hAnsi="宋体"/>
          <w:bCs/>
          <w:szCs w:val="21"/>
        </w:rPr>
        <w:t>。</w:t>
      </w:r>
    </w:p>
    <w:p>
      <w:pPr>
        <w:spacing w:before="240" w:after="240"/>
        <w:jc w:val="left"/>
        <w:outlineLvl w:val="2"/>
        <w:rPr>
          <w:rFonts w:ascii="宋体" w:hAnsi="宋体"/>
          <w:b/>
          <w:bCs/>
          <w:sz w:val="28"/>
        </w:rPr>
      </w:pPr>
      <w:bookmarkStart w:id="2" w:name="_Toc5736"/>
      <w:bookmarkStart w:id="3" w:name="_Toc222740128"/>
      <w:r>
        <w:rPr>
          <w:rFonts w:ascii="宋体" w:hAnsi="宋体"/>
          <w:b/>
          <w:bCs/>
          <w:sz w:val="28"/>
        </w:rPr>
        <w:t>2．评标组织及职责</w:t>
      </w:r>
      <w:bookmarkEnd w:id="2"/>
      <w:bookmarkEnd w:id="3"/>
    </w:p>
    <w:p>
      <w:pPr>
        <w:pStyle w:val="2"/>
        <w:spacing w:before="120" w:after="240" w:line="440" w:lineRule="exact"/>
        <w:jc w:val="left"/>
        <w:rPr>
          <w:rFonts w:ascii="宋体" w:hAnsi="宋体"/>
          <w:kern w:val="0"/>
          <w:sz w:val="24"/>
          <w:szCs w:val="24"/>
        </w:rPr>
      </w:pPr>
      <w:r>
        <w:rPr>
          <w:rFonts w:ascii="宋体" w:hAnsi="宋体"/>
          <w:kern w:val="0"/>
          <w:sz w:val="24"/>
          <w:szCs w:val="24"/>
        </w:rPr>
        <w:t>2.1  评标委员会组成</w:t>
      </w:r>
    </w:p>
    <w:p>
      <w:pPr>
        <w:spacing w:line="440" w:lineRule="exact"/>
        <w:ind w:firstLine="420" w:firstLineChars="200"/>
        <w:rPr>
          <w:rFonts w:ascii="宋体" w:hAnsi="宋体"/>
          <w:bCs/>
          <w:szCs w:val="21"/>
        </w:rPr>
      </w:pPr>
      <w:r>
        <w:rPr>
          <w:rFonts w:ascii="宋体" w:hAnsi="宋体"/>
          <w:bCs/>
          <w:szCs w:val="21"/>
        </w:rPr>
        <w:t>招标人依法组建评标委员会。评标委员会由招标人代表</w:t>
      </w:r>
      <w:r>
        <w:rPr>
          <w:rFonts w:hint="eastAsia" w:ascii="宋体" w:hAnsi="宋体"/>
          <w:bCs/>
          <w:szCs w:val="21"/>
        </w:rPr>
        <w:t>从新疆生产建设兵团公共资源（交通）专家库中随机抽取的</w:t>
      </w:r>
      <w:r>
        <w:rPr>
          <w:rFonts w:ascii="宋体" w:hAnsi="宋体"/>
          <w:bCs/>
          <w:szCs w:val="21"/>
        </w:rPr>
        <w:t>评标专家共同组成，人数为</w:t>
      </w:r>
      <w:r>
        <w:rPr>
          <w:rFonts w:hint="eastAsia" w:ascii="宋体" w:hAnsi="宋体"/>
          <w:bCs/>
          <w:szCs w:val="21"/>
          <w:u w:val="single"/>
        </w:rPr>
        <w:t xml:space="preserve">  5  </w:t>
      </w:r>
      <w:r>
        <w:rPr>
          <w:rFonts w:ascii="宋体" w:hAnsi="宋体"/>
          <w:bCs/>
          <w:szCs w:val="21"/>
        </w:rPr>
        <w:t>人以上单数，其中评标专家人数不得少于总数的三分之二。评标委员会开始工作之前应由评标委员会推举产生一名主任评标委员，负责协调、组织评标委员会成员开展评标工作。</w:t>
      </w:r>
    </w:p>
    <w:p>
      <w:pPr>
        <w:pStyle w:val="2"/>
        <w:spacing w:before="120" w:after="240" w:line="440" w:lineRule="exact"/>
        <w:jc w:val="left"/>
        <w:rPr>
          <w:rFonts w:ascii="宋体" w:hAnsi="宋体"/>
          <w:kern w:val="0"/>
          <w:sz w:val="24"/>
          <w:szCs w:val="24"/>
        </w:rPr>
      </w:pPr>
      <w:r>
        <w:rPr>
          <w:rFonts w:ascii="宋体" w:hAnsi="宋体"/>
          <w:kern w:val="0"/>
          <w:sz w:val="24"/>
          <w:szCs w:val="24"/>
        </w:rPr>
        <w:t>2.2  评标委员会职责</w:t>
      </w:r>
    </w:p>
    <w:p>
      <w:pPr>
        <w:spacing w:line="440" w:lineRule="exact"/>
        <w:ind w:firstLine="420" w:firstLineChars="200"/>
        <w:rPr>
          <w:rFonts w:hint="eastAsia" w:ascii="宋体" w:hAnsi="宋体"/>
          <w:bCs/>
          <w:szCs w:val="21"/>
        </w:rPr>
      </w:pPr>
      <w:r>
        <w:rPr>
          <w:rFonts w:ascii="宋体" w:hAnsi="宋体"/>
          <w:bCs/>
          <w:szCs w:val="21"/>
        </w:rPr>
        <w:t>（1）对投标文件进行初步评审、资格审查；</w:t>
      </w:r>
    </w:p>
    <w:p>
      <w:pPr>
        <w:spacing w:line="440" w:lineRule="exact"/>
        <w:ind w:firstLine="420" w:firstLineChars="200"/>
        <w:rPr>
          <w:rFonts w:hint="eastAsia" w:ascii="宋体" w:hAnsi="宋体"/>
          <w:bCs/>
          <w:szCs w:val="21"/>
        </w:rPr>
      </w:pPr>
      <w:r>
        <w:rPr>
          <w:rFonts w:ascii="宋体" w:hAnsi="宋体"/>
          <w:bCs/>
          <w:szCs w:val="21"/>
        </w:rPr>
        <w:t>（2）确定评审需澄清、核实的内容；</w:t>
      </w:r>
    </w:p>
    <w:p>
      <w:pPr>
        <w:spacing w:line="440" w:lineRule="exact"/>
        <w:ind w:firstLine="420" w:firstLineChars="200"/>
        <w:rPr>
          <w:rFonts w:hint="eastAsia" w:ascii="宋体" w:hAnsi="宋体"/>
          <w:bCs/>
          <w:szCs w:val="21"/>
        </w:rPr>
      </w:pPr>
      <w:r>
        <w:rPr>
          <w:rFonts w:ascii="宋体" w:hAnsi="宋体"/>
          <w:bCs/>
          <w:szCs w:val="21"/>
        </w:rPr>
        <w:t>（</w:t>
      </w:r>
      <w:r>
        <w:rPr>
          <w:rFonts w:hint="eastAsia" w:ascii="宋体" w:hAnsi="宋体"/>
          <w:bCs/>
          <w:szCs w:val="21"/>
        </w:rPr>
        <w:t>3</w:t>
      </w:r>
      <w:r>
        <w:rPr>
          <w:rFonts w:ascii="宋体" w:hAnsi="宋体"/>
          <w:bCs/>
          <w:szCs w:val="21"/>
        </w:rPr>
        <w:t>）</w:t>
      </w:r>
      <w:r>
        <w:rPr>
          <w:rFonts w:hint="eastAsia" w:ascii="宋体" w:hAnsi="宋体"/>
          <w:bCs/>
          <w:szCs w:val="21"/>
        </w:rPr>
        <w:t>进行商务、技术和财务的详细评审；</w:t>
      </w:r>
    </w:p>
    <w:p>
      <w:pPr>
        <w:spacing w:line="440" w:lineRule="exact"/>
        <w:ind w:firstLine="420" w:firstLineChars="200"/>
        <w:rPr>
          <w:rFonts w:hint="eastAsia" w:ascii="宋体" w:hAnsi="宋体"/>
          <w:bCs/>
          <w:szCs w:val="21"/>
        </w:rPr>
      </w:pPr>
      <w:r>
        <w:rPr>
          <w:rFonts w:hint="eastAsia" w:ascii="宋体" w:hAnsi="宋体"/>
          <w:bCs/>
          <w:szCs w:val="21"/>
        </w:rPr>
        <w:t>（4）</w:t>
      </w:r>
      <w:r>
        <w:rPr>
          <w:rFonts w:ascii="宋体" w:hAnsi="宋体"/>
          <w:bCs/>
          <w:szCs w:val="21"/>
        </w:rPr>
        <w:t>综合评分并推荐中标候选人；</w:t>
      </w:r>
    </w:p>
    <w:p>
      <w:pPr>
        <w:spacing w:line="440" w:lineRule="exact"/>
        <w:ind w:firstLine="420" w:firstLineChars="200"/>
        <w:rPr>
          <w:rFonts w:hint="eastAsia" w:ascii="宋体" w:hAnsi="宋体"/>
          <w:bCs/>
          <w:szCs w:val="21"/>
        </w:rPr>
      </w:pPr>
      <w:r>
        <w:rPr>
          <w:rFonts w:ascii="宋体" w:hAnsi="宋体"/>
          <w:bCs/>
          <w:szCs w:val="21"/>
        </w:rPr>
        <w:t>（</w:t>
      </w:r>
      <w:r>
        <w:rPr>
          <w:rFonts w:hint="eastAsia" w:ascii="宋体" w:hAnsi="宋体"/>
          <w:bCs/>
          <w:szCs w:val="21"/>
        </w:rPr>
        <w:t>5</w:t>
      </w:r>
      <w:r>
        <w:rPr>
          <w:rFonts w:ascii="宋体" w:hAnsi="宋体"/>
          <w:bCs/>
          <w:szCs w:val="21"/>
        </w:rPr>
        <w:t>）建议是否重新招标；</w:t>
      </w:r>
    </w:p>
    <w:p>
      <w:pPr>
        <w:spacing w:line="440" w:lineRule="exact"/>
        <w:ind w:firstLine="420" w:firstLineChars="200"/>
        <w:rPr>
          <w:rFonts w:ascii="宋体" w:hAnsi="宋体"/>
          <w:bCs/>
          <w:szCs w:val="21"/>
        </w:rPr>
      </w:pPr>
      <w:r>
        <w:rPr>
          <w:rFonts w:ascii="宋体" w:hAnsi="宋体"/>
          <w:bCs/>
          <w:szCs w:val="21"/>
        </w:rPr>
        <w:t>（6）完成书面评标报告提交招标人。</w:t>
      </w:r>
    </w:p>
    <w:p>
      <w:pPr>
        <w:spacing w:before="240" w:after="120"/>
        <w:jc w:val="left"/>
        <w:outlineLvl w:val="2"/>
        <w:rPr>
          <w:rFonts w:ascii="宋体" w:hAnsi="宋体"/>
          <w:b/>
          <w:bCs/>
          <w:sz w:val="28"/>
        </w:rPr>
      </w:pPr>
      <w:bookmarkStart w:id="4" w:name="_Toc30797"/>
      <w:bookmarkStart w:id="5" w:name="_Toc222740129"/>
      <w:r>
        <w:rPr>
          <w:rFonts w:ascii="宋体" w:hAnsi="宋体"/>
          <w:b/>
          <w:bCs/>
          <w:sz w:val="28"/>
        </w:rPr>
        <w:t>3．评审程序</w:t>
      </w:r>
      <w:bookmarkEnd w:id="4"/>
      <w:bookmarkEnd w:id="5"/>
    </w:p>
    <w:p>
      <w:pPr>
        <w:pStyle w:val="2"/>
        <w:spacing w:before="120" w:after="120" w:line="440" w:lineRule="exact"/>
        <w:jc w:val="left"/>
        <w:rPr>
          <w:rFonts w:ascii="宋体" w:hAnsi="宋体"/>
          <w:kern w:val="0"/>
          <w:sz w:val="24"/>
          <w:szCs w:val="24"/>
        </w:rPr>
      </w:pPr>
      <w:r>
        <w:rPr>
          <w:rFonts w:ascii="宋体" w:hAnsi="宋体"/>
          <w:kern w:val="0"/>
          <w:sz w:val="24"/>
          <w:szCs w:val="24"/>
        </w:rPr>
        <w:t>3.1  评标准备</w:t>
      </w:r>
    </w:p>
    <w:p>
      <w:pPr>
        <w:spacing w:line="440" w:lineRule="exact"/>
        <w:ind w:firstLine="420" w:firstLineChars="200"/>
        <w:rPr>
          <w:rFonts w:hint="eastAsia" w:ascii="宋体" w:hAnsi="宋体"/>
          <w:bCs/>
          <w:szCs w:val="21"/>
        </w:rPr>
      </w:pPr>
      <w:r>
        <w:rPr>
          <w:rFonts w:ascii="宋体" w:hAnsi="宋体"/>
          <w:bCs/>
          <w:szCs w:val="21"/>
        </w:rPr>
        <w:t>评标委员会开始评标工作之前，必须首先认真研读招标文件；招标人应当向评标委员会提供招标文件、评标办法和评标所需的其</w:t>
      </w:r>
      <w:r>
        <w:rPr>
          <w:rFonts w:hint="eastAsia" w:ascii="宋体" w:hAnsi="宋体"/>
          <w:bCs/>
          <w:szCs w:val="21"/>
        </w:rPr>
        <w:t>他</w:t>
      </w:r>
      <w:r>
        <w:rPr>
          <w:rFonts w:ascii="宋体" w:hAnsi="宋体"/>
          <w:bCs/>
          <w:szCs w:val="21"/>
        </w:rPr>
        <w:t>重要信息与数据，协助评标委员会了解和熟悉招标</w:t>
      </w:r>
      <w:r>
        <w:rPr>
          <w:rFonts w:hint="eastAsia" w:ascii="宋体" w:hAnsi="宋体"/>
          <w:bCs/>
          <w:szCs w:val="21"/>
        </w:rPr>
        <w:t>工程</w:t>
      </w:r>
      <w:r>
        <w:rPr>
          <w:rFonts w:ascii="宋体" w:hAnsi="宋体"/>
          <w:bCs/>
          <w:szCs w:val="21"/>
        </w:rPr>
        <w:t>的如下内容：</w:t>
      </w:r>
    </w:p>
    <w:p>
      <w:pPr>
        <w:spacing w:line="440" w:lineRule="exact"/>
        <w:ind w:firstLine="420" w:firstLineChars="200"/>
        <w:rPr>
          <w:rFonts w:hint="eastAsia" w:ascii="宋体" w:hAnsi="宋体"/>
          <w:bCs/>
          <w:szCs w:val="21"/>
        </w:rPr>
      </w:pPr>
      <w:r>
        <w:rPr>
          <w:rFonts w:ascii="宋体" w:hAnsi="宋体"/>
          <w:bCs/>
          <w:szCs w:val="21"/>
        </w:rPr>
        <w:t>（1）招标项目的工程规模、标准和工程特点；</w:t>
      </w:r>
    </w:p>
    <w:p>
      <w:pPr>
        <w:spacing w:line="440" w:lineRule="exact"/>
        <w:ind w:firstLine="420" w:firstLineChars="200"/>
        <w:rPr>
          <w:rFonts w:hint="eastAsia" w:ascii="宋体" w:hAnsi="宋体"/>
          <w:bCs/>
          <w:szCs w:val="21"/>
        </w:rPr>
      </w:pPr>
      <w:r>
        <w:rPr>
          <w:rFonts w:ascii="宋体" w:hAnsi="宋体"/>
          <w:bCs/>
          <w:szCs w:val="21"/>
        </w:rPr>
        <w:t>（2）招标文件规定的评标办法；</w:t>
      </w:r>
    </w:p>
    <w:p>
      <w:pPr>
        <w:spacing w:line="440" w:lineRule="exact"/>
        <w:ind w:firstLine="420" w:firstLineChars="200"/>
        <w:rPr>
          <w:rFonts w:ascii="宋体" w:hAnsi="宋体"/>
          <w:bCs/>
          <w:spacing w:val="-6"/>
          <w:szCs w:val="21"/>
        </w:rPr>
      </w:pPr>
      <w:r>
        <w:rPr>
          <w:rFonts w:ascii="宋体" w:hAnsi="宋体"/>
          <w:bCs/>
          <w:szCs w:val="21"/>
        </w:rPr>
        <w:t>（3）招标文件规定的其</w:t>
      </w:r>
      <w:r>
        <w:rPr>
          <w:rFonts w:hint="eastAsia" w:ascii="宋体" w:hAnsi="宋体"/>
          <w:bCs/>
          <w:szCs w:val="21"/>
        </w:rPr>
        <w:t>他</w:t>
      </w:r>
      <w:r>
        <w:rPr>
          <w:rFonts w:ascii="宋体" w:hAnsi="宋体"/>
          <w:bCs/>
          <w:szCs w:val="21"/>
        </w:rPr>
        <w:t>与评标有关的内容。</w:t>
      </w:r>
    </w:p>
    <w:p>
      <w:pPr>
        <w:pStyle w:val="2"/>
        <w:spacing w:before="120" w:after="120" w:line="440" w:lineRule="exact"/>
        <w:jc w:val="left"/>
        <w:rPr>
          <w:rFonts w:ascii="宋体" w:hAnsi="宋体"/>
          <w:kern w:val="0"/>
          <w:sz w:val="24"/>
          <w:szCs w:val="24"/>
        </w:rPr>
      </w:pPr>
      <w:r>
        <w:rPr>
          <w:rFonts w:ascii="宋体" w:hAnsi="宋体"/>
          <w:kern w:val="0"/>
          <w:sz w:val="24"/>
          <w:szCs w:val="24"/>
        </w:rPr>
        <w:t>3.2  评审程序</w:t>
      </w:r>
    </w:p>
    <w:p>
      <w:pPr>
        <w:spacing w:line="440" w:lineRule="exact"/>
        <w:ind w:firstLine="420" w:firstLineChars="200"/>
        <w:rPr>
          <w:rFonts w:hint="eastAsia" w:ascii="宋体" w:hAnsi="宋体"/>
          <w:bCs/>
          <w:szCs w:val="21"/>
        </w:rPr>
      </w:pPr>
      <w:r>
        <w:rPr>
          <w:rFonts w:ascii="宋体" w:hAnsi="宋体"/>
          <w:bCs/>
          <w:szCs w:val="21"/>
        </w:rPr>
        <w:t>（1）初步评审；</w:t>
      </w:r>
    </w:p>
    <w:p>
      <w:pPr>
        <w:spacing w:line="440" w:lineRule="exact"/>
        <w:ind w:firstLine="420" w:firstLineChars="200"/>
        <w:rPr>
          <w:rFonts w:hint="eastAsia" w:ascii="宋体" w:hAnsi="宋体"/>
          <w:b/>
          <w:bCs/>
          <w:szCs w:val="21"/>
        </w:rPr>
      </w:pPr>
      <w:r>
        <w:rPr>
          <w:rFonts w:ascii="宋体" w:hAnsi="宋体"/>
          <w:bCs/>
          <w:szCs w:val="21"/>
        </w:rPr>
        <w:t>（2）</w:t>
      </w:r>
      <w:r>
        <w:rPr>
          <w:rFonts w:hint="eastAsia" w:ascii="宋体" w:hAnsi="宋体"/>
          <w:bCs/>
          <w:szCs w:val="21"/>
        </w:rPr>
        <w:t>资格审查</w:t>
      </w:r>
      <w:r>
        <w:rPr>
          <w:rFonts w:ascii="宋体" w:hAnsi="宋体"/>
          <w:bCs/>
          <w:szCs w:val="21"/>
        </w:rPr>
        <w:t>；</w:t>
      </w:r>
    </w:p>
    <w:p>
      <w:pPr>
        <w:spacing w:line="440" w:lineRule="exact"/>
        <w:ind w:firstLine="420" w:firstLineChars="200"/>
        <w:rPr>
          <w:rFonts w:hint="eastAsia" w:ascii="宋体" w:hAnsi="宋体"/>
          <w:bCs/>
          <w:szCs w:val="21"/>
        </w:rPr>
      </w:pPr>
      <w:r>
        <w:rPr>
          <w:rFonts w:ascii="宋体" w:hAnsi="宋体"/>
          <w:bCs/>
          <w:szCs w:val="21"/>
        </w:rPr>
        <w:t>（3）详细评审</w:t>
      </w:r>
      <w:r>
        <w:rPr>
          <w:rFonts w:hint="eastAsia" w:ascii="宋体" w:hAnsi="宋体"/>
          <w:bCs/>
          <w:szCs w:val="21"/>
        </w:rPr>
        <w:t>（技术、商务、财务评审）</w:t>
      </w:r>
      <w:r>
        <w:rPr>
          <w:rFonts w:ascii="宋体" w:hAnsi="宋体"/>
          <w:bCs/>
          <w:szCs w:val="21"/>
        </w:rPr>
        <w:t>；</w:t>
      </w:r>
    </w:p>
    <w:p>
      <w:pPr>
        <w:spacing w:line="440" w:lineRule="exact"/>
        <w:ind w:firstLine="420" w:firstLineChars="200"/>
        <w:rPr>
          <w:rFonts w:hint="eastAsia" w:ascii="宋体" w:hAnsi="宋体"/>
          <w:bCs/>
          <w:szCs w:val="21"/>
        </w:rPr>
      </w:pPr>
      <w:r>
        <w:rPr>
          <w:rFonts w:ascii="宋体" w:hAnsi="宋体"/>
          <w:bCs/>
          <w:szCs w:val="21"/>
        </w:rPr>
        <w:t>（4）投标文件的澄清；</w:t>
      </w:r>
    </w:p>
    <w:p>
      <w:pPr>
        <w:spacing w:line="440" w:lineRule="exact"/>
        <w:ind w:firstLine="420" w:firstLineChars="200"/>
        <w:rPr>
          <w:rFonts w:hint="eastAsia" w:ascii="宋体" w:hAnsi="宋体"/>
          <w:bCs/>
          <w:szCs w:val="21"/>
        </w:rPr>
      </w:pPr>
      <w:r>
        <w:rPr>
          <w:rFonts w:ascii="宋体" w:hAnsi="宋体"/>
          <w:bCs/>
          <w:szCs w:val="21"/>
        </w:rPr>
        <w:t>（5）综合评</w:t>
      </w:r>
      <w:r>
        <w:rPr>
          <w:rFonts w:hint="eastAsia" w:ascii="宋体" w:hAnsi="宋体"/>
          <w:bCs/>
          <w:szCs w:val="21"/>
        </w:rPr>
        <w:t>分</w:t>
      </w:r>
      <w:r>
        <w:rPr>
          <w:rFonts w:ascii="宋体" w:hAnsi="宋体"/>
          <w:bCs/>
          <w:szCs w:val="21"/>
        </w:rPr>
        <w:t>；</w:t>
      </w:r>
    </w:p>
    <w:p>
      <w:pPr>
        <w:spacing w:line="440" w:lineRule="exact"/>
        <w:ind w:firstLine="420" w:firstLineChars="200"/>
        <w:rPr>
          <w:rFonts w:hint="eastAsia" w:ascii="宋体" w:hAnsi="宋体"/>
          <w:bCs/>
          <w:szCs w:val="21"/>
        </w:rPr>
      </w:pPr>
      <w:r>
        <w:rPr>
          <w:rFonts w:hint="eastAsia" w:ascii="宋体" w:hAnsi="宋体"/>
          <w:bCs/>
          <w:szCs w:val="21"/>
        </w:rPr>
        <w:t>（6）</w:t>
      </w:r>
      <w:r>
        <w:rPr>
          <w:rFonts w:ascii="宋体" w:hAnsi="宋体"/>
          <w:bCs/>
          <w:szCs w:val="21"/>
        </w:rPr>
        <w:t>推荐中标候选人；</w:t>
      </w:r>
    </w:p>
    <w:p>
      <w:pPr>
        <w:spacing w:line="440" w:lineRule="exact"/>
        <w:ind w:firstLine="420" w:firstLineChars="200"/>
        <w:rPr>
          <w:rFonts w:hint="eastAsia" w:ascii="宋体" w:hAnsi="宋体"/>
          <w:bCs/>
          <w:szCs w:val="21"/>
        </w:rPr>
      </w:pPr>
      <w:r>
        <w:rPr>
          <w:rFonts w:ascii="宋体" w:hAnsi="宋体"/>
          <w:bCs/>
          <w:szCs w:val="21"/>
        </w:rPr>
        <w:t>（</w:t>
      </w:r>
      <w:r>
        <w:rPr>
          <w:rFonts w:hint="eastAsia" w:ascii="宋体" w:hAnsi="宋体"/>
          <w:bCs/>
          <w:szCs w:val="21"/>
        </w:rPr>
        <w:t>7</w:t>
      </w:r>
      <w:r>
        <w:rPr>
          <w:rFonts w:ascii="宋体" w:hAnsi="宋体"/>
          <w:bCs/>
          <w:szCs w:val="21"/>
        </w:rPr>
        <w:t>）编写评标报告。</w:t>
      </w:r>
    </w:p>
    <w:p>
      <w:pPr>
        <w:spacing w:before="240" w:after="120"/>
        <w:jc w:val="left"/>
        <w:outlineLvl w:val="2"/>
        <w:rPr>
          <w:rFonts w:ascii="宋体" w:hAnsi="宋体"/>
          <w:b/>
          <w:bCs/>
          <w:sz w:val="28"/>
        </w:rPr>
      </w:pPr>
      <w:bookmarkStart w:id="6" w:name="_Toc222740130"/>
      <w:bookmarkStart w:id="7" w:name="_Toc17621"/>
      <w:r>
        <w:rPr>
          <w:rFonts w:ascii="宋体" w:hAnsi="宋体"/>
          <w:b/>
          <w:bCs/>
          <w:sz w:val="28"/>
        </w:rPr>
        <w:t>4．初步评审</w:t>
      </w:r>
      <w:bookmarkEnd w:id="6"/>
      <w:bookmarkEnd w:id="7"/>
    </w:p>
    <w:p>
      <w:pPr>
        <w:spacing w:line="440" w:lineRule="exact"/>
        <w:ind w:firstLine="420" w:firstLineChars="200"/>
        <w:rPr>
          <w:rFonts w:hint="eastAsia" w:ascii="宋体" w:hAnsi="宋体"/>
        </w:rPr>
      </w:pPr>
      <w:r>
        <w:rPr>
          <w:rFonts w:ascii="宋体" w:hAnsi="宋体"/>
        </w:rPr>
        <w:t>评标委员会将对投标文件进行初步评审</w:t>
      </w:r>
      <w:r>
        <w:rPr>
          <w:rFonts w:hint="eastAsia" w:ascii="宋体" w:hAnsi="宋体"/>
        </w:rPr>
        <w:t>。只有通过初步评审的投标文件才能参加下一阶段评审。通过初步评审的主要条件：</w:t>
      </w:r>
    </w:p>
    <w:p>
      <w:pPr>
        <w:spacing w:line="440" w:lineRule="exact"/>
        <w:ind w:firstLine="420" w:firstLineChars="200"/>
        <w:rPr>
          <w:rFonts w:hint="eastAsia" w:ascii="宋体" w:hAnsi="宋体"/>
        </w:rPr>
      </w:pPr>
      <w:r>
        <w:rPr>
          <w:rFonts w:ascii="宋体" w:hAnsi="宋体"/>
        </w:rPr>
        <w:t>（1）投标文件按照招标文件规定的格式、内容和要求编制，字迹清晰可辨；</w:t>
      </w:r>
    </w:p>
    <w:p>
      <w:pPr>
        <w:spacing w:line="440" w:lineRule="exact"/>
        <w:ind w:firstLine="420" w:firstLineChars="200"/>
        <w:rPr>
          <w:rFonts w:hint="eastAsia" w:ascii="宋体" w:hAnsi="宋体"/>
        </w:rPr>
      </w:pPr>
      <w:r>
        <w:rPr>
          <w:rFonts w:ascii="宋体" w:hAnsi="宋体"/>
        </w:rPr>
        <w:t>（2）投标文件（正本）</w:t>
      </w:r>
      <w:r>
        <w:rPr>
          <w:rFonts w:ascii="宋体" w:hAnsi="宋体"/>
          <w:szCs w:val="21"/>
        </w:rPr>
        <w:t>按招标文件规定加盖</w:t>
      </w:r>
      <w:r>
        <w:rPr>
          <w:rFonts w:hint="eastAsia" w:ascii="宋体" w:hAnsi="宋体"/>
          <w:szCs w:val="21"/>
        </w:rPr>
        <w:t>投标人</w:t>
      </w:r>
      <w:r>
        <w:rPr>
          <w:rFonts w:ascii="宋体" w:hAnsi="宋体"/>
          <w:szCs w:val="21"/>
        </w:rPr>
        <w:t>公章并</w:t>
      </w:r>
      <w:r>
        <w:rPr>
          <w:rFonts w:ascii="宋体" w:hAnsi="宋体"/>
        </w:rPr>
        <w:t>由法定代表人或其授权代理人逐页签署姓名，</w:t>
      </w:r>
      <w:r>
        <w:rPr>
          <w:rFonts w:hint="eastAsia" w:ascii="宋体" w:hAnsi="宋体"/>
        </w:rPr>
        <w:t>未使</w:t>
      </w:r>
      <w:r>
        <w:rPr>
          <w:rFonts w:ascii="宋体" w:hAnsi="宋体"/>
        </w:rPr>
        <w:t>用签名章代替；</w:t>
      </w:r>
    </w:p>
    <w:p>
      <w:pPr>
        <w:spacing w:line="440" w:lineRule="exact"/>
        <w:ind w:firstLine="420" w:firstLineChars="200"/>
        <w:rPr>
          <w:rFonts w:hint="eastAsia" w:ascii="宋体" w:hAnsi="宋体"/>
        </w:rPr>
      </w:pPr>
      <w:r>
        <w:rPr>
          <w:rFonts w:ascii="宋体" w:hAnsi="宋体"/>
        </w:rPr>
        <w:t>（</w:t>
      </w:r>
      <w:r>
        <w:rPr>
          <w:rFonts w:hint="eastAsia" w:ascii="宋体" w:hAnsi="宋体"/>
        </w:rPr>
        <w:t>3</w:t>
      </w:r>
      <w:r>
        <w:rPr>
          <w:rFonts w:ascii="宋体" w:hAnsi="宋体"/>
        </w:rPr>
        <w:t>）投标人按照招标文件规定的形式、</w:t>
      </w:r>
      <w:r>
        <w:rPr>
          <w:rFonts w:hint="eastAsia" w:ascii="宋体" w:hAnsi="宋体"/>
        </w:rPr>
        <w:t>时限和要求</w:t>
      </w:r>
      <w:r>
        <w:rPr>
          <w:rFonts w:ascii="宋体" w:hAnsi="宋体"/>
        </w:rPr>
        <w:t>提供了投标</w:t>
      </w:r>
      <w:r>
        <w:rPr>
          <w:rFonts w:hint="eastAsia" w:ascii="宋体" w:hAnsi="宋体"/>
        </w:rPr>
        <w:t>保证金</w:t>
      </w:r>
      <w:r>
        <w:rPr>
          <w:rFonts w:ascii="宋体" w:hAnsi="宋体"/>
        </w:rPr>
        <w:t>；</w:t>
      </w:r>
    </w:p>
    <w:p>
      <w:pPr>
        <w:spacing w:line="440" w:lineRule="exact"/>
        <w:ind w:firstLine="420" w:firstLineChars="200"/>
        <w:rPr>
          <w:rFonts w:hint="eastAsia" w:ascii="宋体" w:hAnsi="宋体"/>
        </w:rPr>
      </w:pPr>
      <w:r>
        <w:rPr>
          <w:rFonts w:ascii="宋体" w:hAnsi="宋体"/>
        </w:rPr>
        <w:t>（</w:t>
      </w:r>
      <w:r>
        <w:rPr>
          <w:rFonts w:hint="eastAsia" w:ascii="宋体" w:hAnsi="宋体"/>
        </w:rPr>
        <w:t>4</w:t>
      </w:r>
      <w:r>
        <w:rPr>
          <w:rFonts w:ascii="宋体" w:hAnsi="宋体"/>
        </w:rPr>
        <w:t>）按照招标文件规定提供了</w:t>
      </w:r>
      <w:r>
        <w:rPr>
          <w:rFonts w:hint="eastAsia" w:ascii="宋体" w:hAnsi="宋体"/>
        </w:rPr>
        <w:t>法定代表人身份证明、</w:t>
      </w:r>
      <w:r>
        <w:rPr>
          <w:rFonts w:ascii="宋体" w:hAnsi="宋体"/>
        </w:rPr>
        <w:t>授权书（如有）</w:t>
      </w:r>
      <w:r>
        <w:rPr>
          <w:rFonts w:hint="eastAsia" w:ascii="宋体" w:hAnsi="宋体"/>
        </w:rPr>
        <w:t>、</w:t>
      </w:r>
      <w:r>
        <w:rPr>
          <w:rFonts w:ascii="宋体" w:hAnsi="宋体"/>
        </w:rPr>
        <w:t>公证书；</w:t>
      </w:r>
    </w:p>
    <w:p>
      <w:pPr>
        <w:spacing w:line="440" w:lineRule="exact"/>
        <w:ind w:firstLine="420" w:firstLineChars="200"/>
        <w:rPr>
          <w:rFonts w:hint="eastAsia" w:ascii="宋体" w:hAnsi="宋体"/>
        </w:rPr>
      </w:pPr>
      <w:r>
        <w:rPr>
          <w:rFonts w:ascii="宋体" w:hAnsi="宋体"/>
        </w:rPr>
        <w:t>（</w:t>
      </w:r>
      <w:r>
        <w:rPr>
          <w:rFonts w:hint="eastAsia" w:ascii="宋体" w:hAnsi="宋体"/>
        </w:rPr>
        <w:t>5</w:t>
      </w:r>
      <w:r>
        <w:rPr>
          <w:rFonts w:ascii="宋体" w:hAnsi="宋体"/>
        </w:rPr>
        <w:t>）监理服务期、工程质量目标满足招标文件要求；</w:t>
      </w:r>
    </w:p>
    <w:p>
      <w:pPr>
        <w:spacing w:line="440" w:lineRule="exact"/>
        <w:ind w:firstLine="420" w:firstLineChars="200"/>
        <w:rPr>
          <w:rFonts w:hint="eastAsia" w:ascii="宋体" w:hAnsi="宋体"/>
        </w:rPr>
      </w:pPr>
      <w:r>
        <w:rPr>
          <w:rFonts w:ascii="宋体" w:hAnsi="宋体"/>
        </w:rPr>
        <w:t>（</w:t>
      </w:r>
      <w:r>
        <w:rPr>
          <w:rFonts w:hint="eastAsia" w:ascii="宋体" w:hAnsi="宋体"/>
        </w:rPr>
        <w:t>6</w:t>
      </w:r>
      <w:r>
        <w:rPr>
          <w:rFonts w:ascii="宋体" w:hAnsi="宋体"/>
        </w:rPr>
        <w:t>）</w:t>
      </w:r>
      <w:r>
        <w:rPr>
          <w:rFonts w:hint="eastAsia" w:ascii="宋体" w:hAnsi="宋体"/>
        </w:rPr>
        <w:t>投标人未以他人名义投标、未与他人串通投标、未以行贿手段谋取中标，以及未弄虚作假；</w:t>
      </w:r>
    </w:p>
    <w:p>
      <w:pPr>
        <w:spacing w:line="440" w:lineRule="exact"/>
        <w:ind w:firstLine="420" w:firstLineChars="200"/>
        <w:rPr>
          <w:rFonts w:hint="eastAsia" w:ascii="宋体" w:hAnsi="宋体"/>
        </w:rPr>
      </w:pPr>
      <w:r>
        <w:rPr>
          <w:rFonts w:ascii="宋体" w:hAnsi="宋体"/>
        </w:rPr>
        <w:t>（</w:t>
      </w:r>
      <w:r>
        <w:rPr>
          <w:rFonts w:hint="eastAsia" w:ascii="宋体" w:hAnsi="宋体"/>
        </w:rPr>
        <w:t>7</w:t>
      </w:r>
      <w:r>
        <w:rPr>
          <w:rFonts w:ascii="宋体" w:hAnsi="宋体"/>
        </w:rPr>
        <w:t>）</w:t>
      </w:r>
      <w:r>
        <w:rPr>
          <w:rFonts w:hint="eastAsia" w:ascii="宋体" w:hAnsi="宋体"/>
        </w:rPr>
        <w:t>投标文件未附有招标人不能接受的其他条件。</w:t>
      </w:r>
    </w:p>
    <w:p>
      <w:pPr>
        <w:spacing w:line="440" w:lineRule="exact"/>
        <w:ind w:firstLine="420" w:firstLineChars="200"/>
        <w:rPr>
          <w:rFonts w:hint="eastAsia" w:ascii="宋体" w:hAnsi="宋体"/>
        </w:rPr>
      </w:pPr>
      <w:r>
        <w:rPr>
          <w:rFonts w:ascii="宋体" w:hAnsi="宋体"/>
        </w:rPr>
        <w:t>投标文件不符合以上条件之一的，</w:t>
      </w:r>
      <w:r>
        <w:rPr>
          <w:rFonts w:hint="eastAsia" w:ascii="宋体" w:hAnsi="宋体"/>
        </w:rPr>
        <w:t>属于</w:t>
      </w:r>
      <w:r>
        <w:rPr>
          <w:rFonts w:ascii="宋体" w:hAnsi="宋体"/>
        </w:rPr>
        <w:t>重大偏差，</w:t>
      </w:r>
      <w:r>
        <w:rPr>
          <w:rFonts w:hint="eastAsia" w:ascii="宋体" w:hAnsi="宋体"/>
        </w:rPr>
        <w:t>作为</w:t>
      </w:r>
      <w:r>
        <w:rPr>
          <w:rFonts w:ascii="宋体" w:hAnsi="宋体"/>
        </w:rPr>
        <w:t>废标处理。</w:t>
      </w:r>
    </w:p>
    <w:p>
      <w:pPr>
        <w:spacing w:before="360" w:after="240"/>
        <w:jc w:val="left"/>
        <w:outlineLvl w:val="2"/>
        <w:rPr>
          <w:rFonts w:ascii="宋体" w:hAnsi="宋体"/>
          <w:b/>
          <w:bCs/>
          <w:sz w:val="28"/>
        </w:rPr>
      </w:pPr>
      <w:bookmarkStart w:id="8" w:name="_Toc28102"/>
      <w:bookmarkStart w:id="9" w:name="_Toc222740131"/>
      <w:r>
        <w:rPr>
          <w:rFonts w:ascii="宋体" w:hAnsi="宋体"/>
          <w:b/>
          <w:bCs/>
          <w:sz w:val="28"/>
        </w:rPr>
        <w:t>5．</w:t>
      </w:r>
      <w:r>
        <w:rPr>
          <w:rFonts w:hint="eastAsia" w:ascii="宋体" w:hAnsi="宋体"/>
          <w:b/>
          <w:bCs/>
          <w:sz w:val="28"/>
        </w:rPr>
        <w:t>资格审查</w:t>
      </w:r>
      <w:bookmarkEnd w:id="8"/>
      <w:bookmarkEnd w:id="9"/>
    </w:p>
    <w:p>
      <w:pPr>
        <w:spacing w:line="440" w:lineRule="exact"/>
        <w:ind w:firstLine="420" w:firstLineChars="200"/>
        <w:rPr>
          <w:rFonts w:hint="eastAsia" w:ascii="宋体" w:hAnsi="宋体"/>
          <w:color w:val="FF0000"/>
          <w:szCs w:val="21"/>
        </w:rPr>
      </w:pPr>
      <w:r>
        <w:rPr>
          <w:rFonts w:ascii="宋体" w:hAnsi="宋体"/>
          <w:szCs w:val="21"/>
        </w:rPr>
        <w:t>评标委员会根据招标文件</w:t>
      </w:r>
      <w:r>
        <w:rPr>
          <w:rFonts w:hint="eastAsia" w:ascii="宋体" w:hAnsi="宋体"/>
          <w:szCs w:val="21"/>
        </w:rPr>
        <w:t>资格审查要求</w:t>
      </w:r>
      <w:r>
        <w:rPr>
          <w:rFonts w:ascii="宋体" w:hAnsi="宋体"/>
          <w:szCs w:val="21"/>
        </w:rPr>
        <w:t>，对投标人的资质、业绩、人员、</w:t>
      </w:r>
      <w:r>
        <w:rPr>
          <w:rFonts w:hint="eastAsia" w:ascii="宋体" w:hAnsi="宋体"/>
          <w:szCs w:val="21"/>
        </w:rPr>
        <w:t>试验</w:t>
      </w:r>
      <w:r>
        <w:rPr>
          <w:rFonts w:ascii="宋体" w:hAnsi="宋体"/>
          <w:szCs w:val="21"/>
        </w:rPr>
        <w:t>、</w:t>
      </w:r>
      <w:r>
        <w:rPr>
          <w:rFonts w:hint="eastAsia" w:ascii="宋体" w:hAnsi="宋体"/>
          <w:szCs w:val="21"/>
        </w:rPr>
        <w:t>检测</w:t>
      </w:r>
      <w:r>
        <w:rPr>
          <w:rFonts w:ascii="宋体" w:hAnsi="宋体"/>
          <w:szCs w:val="21"/>
        </w:rPr>
        <w:t>设备、财务能力、履约情况等进行评审，判定其是否满足资格审查要求。</w:t>
      </w:r>
    </w:p>
    <w:p>
      <w:pPr>
        <w:spacing w:line="440" w:lineRule="exact"/>
        <w:ind w:firstLine="420" w:firstLineChars="200"/>
        <w:rPr>
          <w:rFonts w:ascii="宋体" w:hAnsi="宋体"/>
          <w:color w:val="FF0000"/>
          <w:szCs w:val="21"/>
        </w:rPr>
      </w:pPr>
      <w:r>
        <w:rPr>
          <w:rFonts w:ascii="宋体" w:hAnsi="宋体"/>
          <w:szCs w:val="21"/>
        </w:rPr>
        <w:t>投标文件任一项条件不满足招标文件</w:t>
      </w:r>
      <w:r>
        <w:rPr>
          <w:rFonts w:hint="eastAsia" w:ascii="宋体" w:hAnsi="宋体"/>
          <w:szCs w:val="21"/>
        </w:rPr>
        <w:t>审查要求的</w:t>
      </w:r>
      <w:r>
        <w:rPr>
          <w:rFonts w:ascii="宋体" w:hAnsi="宋体"/>
          <w:szCs w:val="21"/>
        </w:rPr>
        <w:t>，作废标处理。</w:t>
      </w:r>
    </w:p>
    <w:p>
      <w:pPr>
        <w:spacing w:before="360" w:after="240"/>
        <w:jc w:val="left"/>
        <w:outlineLvl w:val="2"/>
        <w:rPr>
          <w:rFonts w:ascii="宋体" w:hAnsi="宋体"/>
          <w:b/>
          <w:bCs/>
          <w:sz w:val="28"/>
        </w:rPr>
      </w:pPr>
      <w:bookmarkStart w:id="10" w:name="_Toc222740132"/>
      <w:bookmarkStart w:id="11" w:name="_Toc22470"/>
      <w:r>
        <w:rPr>
          <w:rFonts w:hint="eastAsia" w:ascii="宋体" w:hAnsi="宋体"/>
          <w:b/>
          <w:bCs/>
          <w:sz w:val="28"/>
        </w:rPr>
        <w:t>6</w:t>
      </w:r>
      <w:r>
        <w:rPr>
          <w:rFonts w:ascii="宋体" w:hAnsi="宋体"/>
          <w:b/>
          <w:bCs/>
          <w:sz w:val="28"/>
        </w:rPr>
        <w:t>．详细评审</w:t>
      </w:r>
      <w:bookmarkEnd w:id="10"/>
      <w:bookmarkEnd w:id="11"/>
    </w:p>
    <w:p>
      <w:pPr>
        <w:spacing w:line="440" w:lineRule="exact"/>
        <w:ind w:firstLine="420" w:firstLineChars="200"/>
        <w:rPr>
          <w:rFonts w:hint="eastAsia" w:ascii="宋体" w:hAnsi="宋体"/>
          <w:szCs w:val="21"/>
        </w:rPr>
      </w:pPr>
      <w:r>
        <w:rPr>
          <w:rFonts w:hint="eastAsia" w:ascii="宋体" w:hAnsi="宋体"/>
          <w:szCs w:val="21"/>
        </w:rPr>
        <w:t>评标委员会对通过初步评审、资格审查的投标文件从合同条款、监理能力、管理水平以及投标人以往监理业绩及履约信誉等方面进行详细评审，</w:t>
      </w:r>
      <w:r>
        <w:rPr>
          <w:rFonts w:hint="eastAsia" w:ascii="宋体" w:hAnsi="宋体"/>
          <w:color w:val="0000FF"/>
          <w:szCs w:val="21"/>
        </w:rPr>
        <w:t>并对财务部分、技术商务部分</w:t>
      </w:r>
      <w:r>
        <w:rPr>
          <w:rFonts w:hint="eastAsia" w:ascii="宋体" w:hAnsi="宋体"/>
          <w:szCs w:val="21"/>
        </w:rPr>
        <w:t>分别评审打分，满分100分；技术商务分值为90分、财务分值为10分。</w:t>
      </w:r>
    </w:p>
    <w:p>
      <w:pPr>
        <w:spacing w:line="440" w:lineRule="exact"/>
        <w:ind w:firstLine="420" w:firstLineChars="200"/>
        <w:rPr>
          <w:rFonts w:hint="eastAsia" w:ascii="宋体" w:hAnsi="宋体"/>
          <w:szCs w:val="21"/>
        </w:rPr>
      </w:pPr>
      <w:r>
        <w:rPr>
          <w:rFonts w:hint="eastAsia" w:ascii="宋体" w:hAnsi="宋体"/>
          <w:szCs w:val="21"/>
        </w:rPr>
        <w:t>投标文件按照招标文件规定采用双信封形式密封的，通过第一信封商务文件和技术文件评审的投标人在3个以上的，招标人应当按照《公路工程建设项目招标投标管理办法》第四十一条规定的程序进行第二信封报价文件开标；在对报价文件进行评审后，有效投标不足3个的，评标委员会可以否决全部投标。</w:t>
      </w:r>
    </w:p>
    <w:p>
      <w:pPr>
        <w:spacing w:line="440" w:lineRule="exact"/>
        <w:ind w:firstLine="420" w:firstLineChars="200"/>
        <w:rPr>
          <w:rFonts w:hint="eastAsia" w:ascii="宋体" w:hAnsi="宋体"/>
          <w:szCs w:val="21"/>
        </w:rPr>
      </w:pPr>
      <w:r>
        <w:rPr>
          <w:rFonts w:hint="eastAsia" w:ascii="宋体" w:hAnsi="宋体"/>
          <w:szCs w:val="21"/>
        </w:rPr>
        <w:t>通过第一信封商务文件和技术文件评审的投标人少于3个的，评标委员会可以否决全部投标；未否决全部投标的，评标委员会应当在评标报告中阐明理由，招标人应当按照《公路工程建设项目招标投标管理办法》第四十一条规定的程序进行第二信封报价文件开标，但评标委员会在进行报价文件评审时仍有权否决全部投标；评标委员会未在报价文件评审时否决全部投标的，应当在评标报告中阐明理由并推荐中标候选人。</w:t>
      </w:r>
    </w:p>
    <w:p>
      <w:pPr>
        <w:pStyle w:val="2"/>
        <w:spacing w:before="120" w:after="120" w:line="440" w:lineRule="exact"/>
        <w:jc w:val="left"/>
        <w:rPr>
          <w:rFonts w:hint="eastAsia" w:ascii="宋体" w:hAnsi="宋体"/>
          <w:b w:val="0"/>
          <w:kern w:val="0"/>
          <w:sz w:val="24"/>
          <w:szCs w:val="24"/>
        </w:rPr>
      </w:pPr>
      <w:r>
        <w:rPr>
          <w:rFonts w:hint="eastAsia" w:ascii="宋体" w:hAnsi="宋体"/>
          <w:kern w:val="0"/>
          <w:sz w:val="24"/>
          <w:szCs w:val="24"/>
        </w:rPr>
        <w:t xml:space="preserve">6.1 </w:t>
      </w:r>
      <w:r>
        <w:rPr>
          <w:rFonts w:hint="eastAsia" w:ascii="宋体" w:hAnsi="宋体"/>
          <w:b w:val="0"/>
          <w:kern w:val="0"/>
          <w:sz w:val="24"/>
          <w:szCs w:val="24"/>
        </w:rPr>
        <w:t>合同条款响应性评审</w:t>
      </w:r>
    </w:p>
    <w:p>
      <w:pPr>
        <w:spacing w:line="440" w:lineRule="exact"/>
        <w:ind w:firstLine="420" w:firstLineChars="200"/>
        <w:rPr>
          <w:rFonts w:hint="eastAsia" w:ascii="宋体" w:hAnsi="宋体"/>
          <w:szCs w:val="21"/>
        </w:rPr>
      </w:pPr>
      <w:r>
        <w:rPr>
          <w:rFonts w:hint="eastAsia" w:ascii="宋体" w:hAnsi="宋体"/>
          <w:szCs w:val="21"/>
        </w:rPr>
        <w:t>投标人通过合同条款响应性评审的主要条件</w:t>
      </w:r>
      <w:r>
        <w:rPr>
          <w:rFonts w:ascii="宋体" w:hAnsi="宋体"/>
          <w:szCs w:val="21"/>
        </w:rPr>
        <w:t>：</w:t>
      </w:r>
    </w:p>
    <w:p>
      <w:pPr>
        <w:spacing w:line="420" w:lineRule="exact"/>
        <w:ind w:firstLine="420" w:firstLineChars="200"/>
        <w:rPr>
          <w:rFonts w:hint="eastAsia" w:ascii="宋体" w:hAnsi="宋体"/>
          <w:szCs w:val="21"/>
        </w:rPr>
      </w:pPr>
      <w:r>
        <w:rPr>
          <w:rFonts w:ascii="宋体" w:hAnsi="宋体"/>
          <w:szCs w:val="21"/>
        </w:rPr>
        <w:t>（1）投标人应接受招标文件规定的风险划分原则，</w:t>
      </w:r>
      <w:r>
        <w:rPr>
          <w:rFonts w:hint="eastAsia" w:ascii="宋体" w:hAnsi="宋体"/>
          <w:szCs w:val="21"/>
        </w:rPr>
        <w:t>未</w:t>
      </w:r>
      <w:r>
        <w:rPr>
          <w:rFonts w:ascii="宋体" w:hAnsi="宋体"/>
          <w:szCs w:val="21"/>
        </w:rPr>
        <w:t>提出新的风险划分办法；</w:t>
      </w:r>
    </w:p>
    <w:p>
      <w:pPr>
        <w:spacing w:line="420" w:lineRule="exact"/>
        <w:ind w:firstLine="420" w:firstLineChars="200"/>
        <w:rPr>
          <w:rFonts w:hint="eastAsia" w:ascii="宋体" w:hAnsi="宋体"/>
          <w:szCs w:val="21"/>
        </w:rPr>
      </w:pPr>
      <w:r>
        <w:rPr>
          <w:rFonts w:ascii="宋体" w:hAnsi="宋体"/>
          <w:szCs w:val="21"/>
        </w:rPr>
        <w:t>（2）投标人</w:t>
      </w:r>
      <w:r>
        <w:rPr>
          <w:rFonts w:hint="eastAsia" w:ascii="宋体" w:hAnsi="宋体"/>
          <w:szCs w:val="21"/>
        </w:rPr>
        <w:t>未</w:t>
      </w:r>
      <w:r>
        <w:rPr>
          <w:rFonts w:ascii="宋体" w:hAnsi="宋体"/>
          <w:szCs w:val="21"/>
        </w:rPr>
        <w:t>增加招标人的责任范围，或减少投标人义务；</w:t>
      </w:r>
    </w:p>
    <w:p>
      <w:pPr>
        <w:spacing w:line="420" w:lineRule="exact"/>
        <w:ind w:firstLine="420" w:firstLineChars="200"/>
        <w:rPr>
          <w:rFonts w:hint="eastAsia" w:ascii="宋体" w:hAnsi="宋体"/>
          <w:szCs w:val="21"/>
        </w:rPr>
      </w:pPr>
      <w:r>
        <w:rPr>
          <w:rFonts w:ascii="宋体" w:hAnsi="宋体"/>
          <w:szCs w:val="21"/>
        </w:rPr>
        <w:t>（3）投标人</w:t>
      </w:r>
      <w:r>
        <w:rPr>
          <w:rFonts w:hint="eastAsia" w:ascii="宋体" w:hAnsi="宋体"/>
          <w:szCs w:val="21"/>
        </w:rPr>
        <w:t>未</w:t>
      </w:r>
      <w:r>
        <w:rPr>
          <w:rFonts w:ascii="宋体" w:hAnsi="宋体"/>
          <w:szCs w:val="21"/>
        </w:rPr>
        <w:t>提出不同的计量、支付办法；</w:t>
      </w:r>
    </w:p>
    <w:p>
      <w:pPr>
        <w:spacing w:line="420" w:lineRule="exact"/>
        <w:ind w:firstLine="420" w:firstLineChars="200"/>
        <w:rPr>
          <w:rFonts w:hint="eastAsia" w:ascii="宋体" w:hAnsi="宋体"/>
          <w:szCs w:val="21"/>
        </w:rPr>
      </w:pPr>
      <w:r>
        <w:rPr>
          <w:rFonts w:ascii="宋体" w:hAnsi="宋体"/>
          <w:szCs w:val="21"/>
        </w:rPr>
        <w:t>（4）投标人</w:t>
      </w:r>
      <w:r>
        <w:rPr>
          <w:rFonts w:hint="eastAsia" w:ascii="宋体" w:hAnsi="宋体"/>
          <w:szCs w:val="21"/>
        </w:rPr>
        <w:t>未对</w:t>
      </w:r>
      <w:r>
        <w:rPr>
          <w:rFonts w:ascii="宋体" w:hAnsi="宋体"/>
          <w:szCs w:val="21"/>
        </w:rPr>
        <w:t>合同纠纷、事故处理办法提出异议；</w:t>
      </w:r>
    </w:p>
    <w:p>
      <w:pPr>
        <w:spacing w:line="420" w:lineRule="exact"/>
        <w:ind w:firstLine="420" w:firstLineChars="200"/>
        <w:rPr>
          <w:rFonts w:hint="eastAsia" w:ascii="宋体" w:hAnsi="宋体"/>
          <w:szCs w:val="21"/>
        </w:rPr>
      </w:pPr>
      <w:r>
        <w:rPr>
          <w:rFonts w:ascii="宋体" w:hAnsi="宋体"/>
          <w:szCs w:val="21"/>
        </w:rPr>
        <w:t>（</w:t>
      </w:r>
      <w:r>
        <w:rPr>
          <w:rFonts w:hint="eastAsia" w:ascii="宋体" w:hAnsi="宋体"/>
          <w:szCs w:val="21"/>
        </w:rPr>
        <w:t>5</w:t>
      </w:r>
      <w:r>
        <w:rPr>
          <w:rFonts w:ascii="宋体" w:hAnsi="宋体"/>
          <w:szCs w:val="21"/>
        </w:rPr>
        <w:t>）投标人对合同条款</w:t>
      </w:r>
      <w:r>
        <w:rPr>
          <w:rFonts w:hint="eastAsia" w:ascii="宋体" w:hAnsi="宋体"/>
          <w:szCs w:val="21"/>
        </w:rPr>
        <w:t>没</w:t>
      </w:r>
      <w:r>
        <w:rPr>
          <w:rFonts w:ascii="宋体" w:hAnsi="宋体"/>
          <w:szCs w:val="21"/>
        </w:rPr>
        <w:t>有重大偏离；</w:t>
      </w:r>
    </w:p>
    <w:p>
      <w:pPr>
        <w:spacing w:line="420" w:lineRule="exact"/>
        <w:ind w:firstLine="420" w:firstLineChars="200"/>
        <w:rPr>
          <w:rFonts w:hint="eastAsia" w:ascii="宋体" w:hAnsi="宋体"/>
        </w:rPr>
      </w:pPr>
      <w:r>
        <w:rPr>
          <w:rFonts w:ascii="宋体" w:hAnsi="宋体"/>
        </w:rPr>
        <w:t>（</w:t>
      </w:r>
      <w:r>
        <w:rPr>
          <w:rFonts w:hint="eastAsia" w:ascii="宋体" w:hAnsi="宋体"/>
        </w:rPr>
        <w:t>6</w:t>
      </w:r>
      <w:r>
        <w:rPr>
          <w:rFonts w:ascii="宋体" w:hAnsi="宋体"/>
        </w:rPr>
        <w:t>）满足招标文件规定的其他实质性要求</w:t>
      </w:r>
      <w:r>
        <w:rPr>
          <w:rFonts w:hint="eastAsia" w:ascii="宋体" w:hAnsi="宋体"/>
        </w:rPr>
        <w:t>。</w:t>
      </w:r>
    </w:p>
    <w:p>
      <w:pPr>
        <w:spacing w:line="420" w:lineRule="exact"/>
        <w:ind w:firstLine="420" w:firstLineChars="200"/>
        <w:rPr>
          <w:rFonts w:ascii="宋体" w:hAnsi="宋体"/>
          <w:szCs w:val="21"/>
        </w:rPr>
      </w:pPr>
      <w:r>
        <w:rPr>
          <w:rFonts w:ascii="宋体" w:hAnsi="宋体"/>
          <w:szCs w:val="21"/>
        </w:rPr>
        <w:t>投标文件不符合以上条件之一的，属于重大偏差，作为废标处理。</w:t>
      </w:r>
    </w:p>
    <w:p>
      <w:pPr>
        <w:spacing w:line="420" w:lineRule="exact"/>
        <w:rPr>
          <w:rFonts w:hint="eastAsia" w:ascii="宋体" w:hAnsi="宋体"/>
          <w:kern w:val="0"/>
          <w:sz w:val="24"/>
        </w:rPr>
      </w:pPr>
      <w:r>
        <w:rPr>
          <w:rFonts w:hint="eastAsia" w:ascii="宋体" w:hAnsi="宋体"/>
          <w:b/>
          <w:bCs/>
          <w:kern w:val="0"/>
          <w:sz w:val="24"/>
        </w:rPr>
        <w:t xml:space="preserve">6.2  </w:t>
      </w:r>
      <w:r>
        <w:rPr>
          <w:rFonts w:hint="eastAsia" w:ascii="宋体" w:hAnsi="宋体"/>
          <w:kern w:val="0"/>
          <w:sz w:val="24"/>
        </w:rPr>
        <w:t>技术商务评审</w:t>
      </w:r>
    </w:p>
    <w:p>
      <w:pPr>
        <w:spacing w:line="420" w:lineRule="exact"/>
        <w:jc w:val="center"/>
        <w:rPr>
          <w:rFonts w:hint="eastAsia" w:ascii="宋体" w:hAnsi="宋体" w:cs="宋体"/>
          <w:b/>
          <w:bCs/>
          <w:kern w:val="0"/>
          <w:sz w:val="32"/>
          <w:szCs w:val="32"/>
        </w:rPr>
      </w:pPr>
      <w:r>
        <w:rPr>
          <w:rFonts w:hint="eastAsia" w:ascii="宋体" w:hAnsi="宋体" w:cs="宋体"/>
          <w:b/>
          <w:bCs/>
          <w:kern w:val="0"/>
          <w:sz w:val="32"/>
          <w:szCs w:val="32"/>
        </w:rPr>
        <w:t>技术评审细则表</w:t>
      </w:r>
    </w:p>
    <w:tbl>
      <w:tblPr>
        <w:tblStyle w:val="7"/>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804"/>
        <w:gridCol w:w="1915"/>
        <w:gridCol w:w="884"/>
        <w:gridCol w:w="1072"/>
        <w:gridCol w:w="830"/>
        <w:gridCol w:w="971"/>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6" w:type="dxa"/>
            <w:vMerge w:val="restart"/>
            <w:vAlign w:val="center"/>
          </w:tcPr>
          <w:p>
            <w:pPr>
              <w:spacing w:line="420" w:lineRule="exact"/>
              <w:jc w:val="center"/>
              <w:rPr>
                <w:rFonts w:hint="eastAsia" w:ascii="宋体" w:hAnsi="宋体"/>
                <w:szCs w:val="21"/>
              </w:rPr>
            </w:pPr>
            <w:r>
              <w:rPr>
                <w:rFonts w:hint="eastAsia" w:ascii="宋体" w:hAnsi="宋体"/>
                <w:szCs w:val="21"/>
              </w:rPr>
              <w:t>序号</w:t>
            </w:r>
          </w:p>
        </w:tc>
        <w:tc>
          <w:tcPr>
            <w:tcW w:w="2719" w:type="dxa"/>
            <w:gridSpan w:val="2"/>
            <w:vMerge w:val="restart"/>
            <w:vAlign w:val="center"/>
          </w:tcPr>
          <w:p>
            <w:pPr>
              <w:spacing w:line="420" w:lineRule="exact"/>
              <w:jc w:val="center"/>
              <w:rPr>
                <w:rFonts w:hint="eastAsia" w:ascii="宋体" w:hAnsi="宋体"/>
                <w:szCs w:val="21"/>
              </w:rPr>
            </w:pPr>
            <w:r>
              <w:rPr>
                <w:rFonts w:hint="eastAsia" w:ascii="宋体" w:hAnsi="宋体"/>
                <w:szCs w:val="21"/>
              </w:rPr>
              <w:t>项目</w:t>
            </w:r>
          </w:p>
        </w:tc>
        <w:tc>
          <w:tcPr>
            <w:tcW w:w="3757" w:type="dxa"/>
            <w:gridSpan w:val="4"/>
            <w:vAlign w:val="center"/>
          </w:tcPr>
          <w:p>
            <w:pPr>
              <w:spacing w:line="420" w:lineRule="exact"/>
              <w:jc w:val="center"/>
              <w:rPr>
                <w:rFonts w:hint="eastAsia" w:ascii="宋体" w:hAnsi="宋体"/>
                <w:szCs w:val="21"/>
              </w:rPr>
            </w:pPr>
            <w:r>
              <w:rPr>
                <w:rFonts w:hint="eastAsia" w:ascii="宋体" w:hAnsi="宋体"/>
                <w:szCs w:val="21"/>
              </w:rPr>
              <w:t>分值</w:t>
            </w:r>
          </w:p>
        </w:tc>
        <w:tc>
          <w:tcPr>
            <w:tcW w:w="2562" w:type="dxa"/>
            <w:vMerge w:val="restart"/>
            <w:vAlign w:val="center"/>
          </w:tcPr>
          <w:p>
            <w:pPr>
              <w:spacing w:line="420" w:lineRule="exact"/>
              <w:jc w:val="center"/>
              <w:rPr>
                <w:rFonts w:hint="eastAsia" w:ascii="宋体" w:hAnsi="宋体"/>
                <w:szCs w:val="21"/>
              </w:rPr>
            </w:pPr>
            <w:r>
              <w:rPr>
                <w:rFonts w:hint="eastAsia" w:ascii="宋体" w:hAnsi="宋体"/>
                <w:szCs w:val="21"/>
              </w:rPr>
              <w:t>具体评分标准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2719" w:type="dxa"/>
            <w:gridSpan w:val="2"/>
            <w:vMerge w:val="continue"/>
            <w:vAlign w:val="center"/>
          </w:tcPr>
          <w:p>
            <w:pPr>
              <w:spacing w:line="420" w:lineRule="exact"/>
              <w:jc w:val="center"/>
              <w:rPr>
                <w:rFonts w:hint="eastAsia" w:ascii="宋体" w:hAnsi="宋体"/>
                <w:szCs w:val="21"/>
              </w:rPr>
            </w:pPr>
          </w:p>
        </w:tc>
        <w:tc>
          <w:tcPr>
            <w:tcW w:w="1956" w:type="dxa"/>
            <w:gridSpan w:val="2"/>
            <w:vAlign w:val="center"/>
          </w:tcPr>
          <w:p>
            <w:pPr>
              <w:spacing w:line="420" w:lineRule="exact"/>
              <w:jc w:val="center"/>
              <w:rPr>
                <w:rFonts w:hint="eastAsia" w:ascii="宋体" w:hAnsi="宋体"/>
                <w:szCs w:val="21"/>
              </w:rPr>
            </w:pPr>
            <w:r>
              <w:rPr>
                <w:rFonts w:hint="eastAsia" w:ascii="宋体" w:hAnsi="宋体"/>
                <w:szCs w:val="21"/>
              </w:rPr>
              <w:t>满分</w:t>
            </w:r>
          </w:p>
        </w:tc>
        <w:tc>
          <w:tcPr>
            <w:tcW w:w="1801" w:type="dxa"/>
            <w:gridSpan w:val="2"/>
            <w:vAlign w:val="center"/>
          </w:tcPr>
          <w:p>
            <w:pPr>
              <w:spacing w:line="420" w:lineRule="exact"/>
              <w:jc w:val="center"/>
              <w:rPr>
                <w:rFonts w:hint="eastAsia" w:ascii="宋体" w:hAnsi="宋体"/>
                <w:szCs w:val="21"/>
              </w:rPr>
            </w:pPr>
            <w:r>
              <w:rPr>
                <w:rFonts w:hint="eastAsia" w:ascii="宋体" w:hAnsi="宋体"/>
                <w:szCs w:val="21"/>
              </w:rPr>
              <w:t>基本分</w:t>
            </w:r>
          </w:p>
        </w:tc>
        <w:tc>
          <w:tcPr>
            <w:tcW w:w="2562" w:type="dxa"/>
            <w:vMerge w:val="continue"/>
            <w:vAlign w:val="center"/>
          </w:tcPr>
          <w:p>
            <w:pPr>
              <w:spacing w:line="4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46" w:type="dxa"/>
            <w:vMerge w:val="restart"/>
            <w:vAlign w:val="center"/>
          </w:tcPr>
          <w:p>
            <w:pPr>
              <w:spacing w:line="420" w:lineRule="exact"/>
              <w:jc w:val="center"/>
              <w:rPr>
                <w:rFonts w:hint="eastAsia" w:ascii="宋体" w:hAnsi="宋体"/>
                <w:szCs w:val="21"/>
              </w:rPr>
            </w:pPr>
            <w:r>
              <w:rPr>
                <w:rFonts w:hint="eastAsia" w:ascii="宋体" w:hAnsi="宋体"/>
                <w:szCs w:val="21"/>
              </w:rPr>
              <w:t>1</w:t>
            </w:r>
          </w:p>
        </w:tc>
        <w:tc>
          <w:tcPr>
            <w:tcW w:w="804"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监理大纲（或监理方案和措施）</w:t>
            </w:r>
          </w:p>
        </w:tc>
        <w:tc>
          <w:tcPr>
            <w:tcW w:w="1915" w:type="dxa"/>
            <w:vAlign w:val="center"/>
          </w:tcPr>
          <w:p>
            <w:pPr>
              <w:spacing w:line="300" w:lineRule="exact"/>
              <w:rPr>
                <w:rFonts w:hint="eastAsia" w:ascii="宋体" w:hAnsi="宋体" w:cs="宋体"/>
                <w:sz w:val="16"/>
                <w:szCs w:val="16"/>
              </w:rPr>
            </w:pPr>
            <w:r>
              <w:rPr>
                <w:rFonts w:hint="eastAsia" w:ascii="宋体" w:hAnsi="宋体" w:cs="宋体"/>
                <w:sz w:val="16"/>
                <w:szCs w:val="16"/>
              </w:rPr>
              <w:t>拟投监理合同段的工程概述</w:t>
            </w:r>
          </w:p>
        </w:tc>
        <w:tc>
          <w:tcPr>
            <w:tcW w:w="884"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24</w:t>
            </w: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0.5</w:t>
            </w:r>
          </w:p>
        </w:tc>
        <w:tc>
          <w:tcPr>
            <w:tcW w:w="830"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14.4</w:t>
            </w: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0.3</w:t>
            </w:r>
          </w:p>
        </w:tc>
        <w:tc>
          <w:tcPr>
            <w:tcW w:w="2562" w:type="dxa"/>
            <w:vAlign w:val="center"/>
          </w:tcPr>
          <w:p>
            <w:pPr>
              <w:spacing w:line="240" w:lineRule="auto"/>
              <w:jc w:val="center"/>
              <w:rPr>
                <w:rFonts w:hint="eastAsia" w:ascii="宋体" w:hAnsi="宋体" w:eastAsia="宋体" w:cs="宋体"/>
                <w:sz w:val="18"/>
                <w:szCs w:val="18"/>
                <w:lang w:val="en-US" w:eastAsia="zh-CN"/>
              </w:rPr>
            </w:pPr>
            <w:r>
              <w:rPr>
                <w:rFonts w:hint="eastAsia" w:ascii="宋体" w:hAnsi="宋体" w:cs="宋体"/>
                <w:sz w:val="18"/>
                <w:szCs w:val="18"/>
              </w:rPr>
              <w:t>根据对所列项的阐述进行评价，优</w:t>
            </w:r>
            <w:r>
              <w:rPr>
                <w:rFonts w:hint="eastAsia" w:ascii="宋体" w:hAnsi="宋体" w:cs="宋体"/>
                <w:sz w:val="18"/>
                <w:szCs w:val="18"/>
                <w:lang w:eastAsia="zh-CN"/>
              </w:rPr>
              <w:t>得</w:t>
            </w:r>
            <w:r>
              <w:rPr>
                <w:rFonts w:hint="eastAsia" w:ascii="宋体" w:hAnsi="宋体" w:cs="宋体"/>
                <w:sz w:val="18"/>
                <w:szCs w:val="18"/>
                <w:lang w:val="en-US" w:eastAsia="zh-CN"/>
              </w:rPr>
              <w:t>0.5分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0.4分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915" w:type="dxa"/>
            <w:vAlign w:val="center"/>
          </w:tcPr>
          <w:p>
            <w:pPr>
              <w:spacing w:line="300" w:lineRule="exact"/>
              <w:rPr>
                <w:rFonts w:hint="eastAsia" w:ascii="宋体" w:hAnsi="宋体" w:cs="宋体"/>
                <w:sz w:val="16"/>
                <w:szCs w:val="16"/>
              </w:rPr>
            </w:pPr>
            <w:r>
              <w:rPr>
                <w:rFonts w:hint="eastAsia" w:ascii="宋体" w:hAnsi="宋体" w:cs="宋体"/>
                <w:sz w:val="16"/>
                <w:szCs w:val="16"/>
              </w:rPr>
              <w:t>监理工作的指导思想和监理目标</w:t>
            </w:r>
          </w:p>
        </w:tc>
        <w:tc>
          <w:tcPr>
            <w:tcW w:w="884" w:type="dxa"/>
            <w:vMerge w:val="continue"/>
            <w:vAlign w:val="center"/>
          </w:tcPr>
          <w:p>
            <w:pPr>
              <w:spacing w:line="420" w:lineRule="exact"/>
              <w:jc w:val="center"/>
              <w:rPr>
                <w:rFonts w:hint="eastAsia" w:ascii="宋体" w:hAnsi="宋体" w:cs="宋体"/>
                <w:sz w:val="18"/>
                <w:szCs w:val="18"/>
              </w:rPr>
            </w:pP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1</w:t>
            </w:r>
          </w:p>
        </w:tc>
        <w:tc>
          <w:tcPr>
            <w:tcW w:w="830" w:type="dxa"/>
            <w:vMerge w:val="continue"/>
            <w:vAlign w:val="center"/>
          </w:tcPr>
          <w:p>
            <w:pPr>
              <w:spacing w:line="420" w:lineRule="exact"/>
              <w:jc w:val="center"/>
              <w:rPr>
                <w:rFonts w:hint="eastAsia" w:ascii="宋体" w:hAnsi="宋体" w:cs="宋体"/>
                <w:sz w:val="18"/>
                <w:szCs w:val="18"/>
              </w:rPr>
            </w:pP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0.6</w:t>
            </w:r>
          </w:p>
        </w:tc>
        <w:tc>
          <w:tcPr>
            <w:tcW w:w="256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根据对所列项的阐述进行评价，优</w:t>
            </w:r>
            <w:r>
              <w:rPr>
                <w:rFonts w:hint="eastAsia" w:ascii="宋体" w:hAnsi="宋体" w:cs="宋体"/>
                <w:sz w:val="18"/>
                <w:szCs w:val="18"/>
                <w:lang w:eastAsia="zh-CN"/>
              </w:rPr>
              <w:t>得</w:t>
            </w:r>
            <w:r>
              <w:rPr>
                <w:rFonts w:hint="eastAsia" w:ascii="宋体" w:hAnsi="宋体" w:cs="宋体"/>
                <w:sz w:val="18"/>
                <w:szCs w:val="18"/>
                <w:lang w:val="en-US" w:eastAsia="zh-CN"/>
              </w:rPr>
              <w:t>1分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0.8分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915" w:type="dxa"/>
            <w:vAlign w:val="center"/>
          </w:tcPr>
          <w:p>
            <w:pPr>
              <w:spacing w:line="300" w:lineRule="exact"/>
              <w:rPr>
                <w:rFonts w:hint="eastAsia" w:ascii="宋体" w:hAnsi="宋体" w:cs="宋体"/>
                <w:sz w:val="16"/>
                <w:szCs w:val="16"/>
              </w:rPr>
            </w:pPr>
            <w:r>
              <w:rPr>
                <w:rFonts w:hint="eastAsia" w:ascii="宋体" w:hAnsi="宋体" w:cs="宋体"/>
                <w:sz w:val="16"/>
                <w:szCs w:val="16"/>
              </w:rPr>
              <w:t>拟投监理合同段组织机构设置</w:t>
            </w:r>
          </w:p>
        </w:tc>
        <w:tc>
          <w:tcPr>
            <w:tcW w:w="884" w:type="dxa"/>
            <w:vMerge w:val="continue"/>
            <w:vAlign w:val="center"/>
          </w:tcPr>
          <w:p>
            <w:pPr>
              <w:spacing w:line="420" w:lineRule="exact"/>
              <w:jc w:val="center"/>
              <w:rPr>
                <w:rFonts w:hint="eastAsia" w:ascii="宋体" w:hAnsi="宋体" w:cs="宋体"/>
                <w:sz w:val="18"/>
                <w:szCs w:val="18"/>
              </w:rPr>
            </w:pP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1</w:t>
            </w:r>
          </w:p>
        </w:tc>
        <w:tc>
          <w:tcPr>
            <w:tcW w:w="830" w:type="dxa"/>
            <w:vMerge w:val="continue"/>
            <w:vAlign w:val="center"/>
          </w:tcPr>
          <w:p>
            <w:pPr>
              <w:spacing w:line="420" w:lineRule="exact"/>
              <w:jc w:val="center"/>
              <w:rPr>
                <w:rFonts w:hint="eastAsia" w:ascii="宋体" w:hAnsi="宋体" w:cs="宋体"/>
                <w:sz w:val="18"/>
                <w:szCs w:val="18"/>
              </w:rPr>
            </w:pP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0.6</w:t>
            </w:r>
          </w:p>
        </w:tc>
        <w:tc>
          <w:tcPr>
            <w:tcW w:w="256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根据对所列项的阐述进行评价，优</w:t>
            </w:r>
            <w:r>
              <w:rPr>
                <w:rFonts w:hint="eastAsia" w:ascii="宋体" w:hAnsi="宋体" w:cs="宋体"/>
                <w:sz w:val="18"/>
                <w:szCs w:val="18"/>
                <w:lang w:eastAsia="zh-CN"/>
              </w:rPr>
              <w:t>得</w:t>
            </w:r>
            <w:r>
              <w:rPr>
                <w:rFonts w:hint="eastAsia" w:ascii="宋体" w:hAnsi="宋体" w:cs="宋体"/>
                <w:sz w:val="18"/>
                <w:szCs w:val="18"/>
                <w:lang w:val="en-US" w:eastAsia="zh-CN"/>
              </w:rPr>
              <w:t>1分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0.8分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915" w:type="dxa"/>
            <w:vAlign w:val="center"/>
          </w:tcPr>
          <w:p>
            <w:pPr>
              <w:spacing w:line="300" w:lineRule="exact"/>
              <w:rPr>
                <w:rFonts w:hint="eastAsia" w:ascii="宋体" w:hAnsi="宋体" w:cs="宋体"/>
                <w:sz w:val="16"/>
                <w:szCs w:val="16"/>
              </w:rPr>
            </w:pPr>
            <w:r>
              <w:rPr>
                <w:rFonts w:hint="eastAsia" w:ascii="宋体" w:hAnsi="宋体" w:cs="宋体"/>
                <w:sz w:val="16"/>
                <w:szCs w:val="16"/>
              </w:rPr>
              <w:t>质量控制的方案与措施</w:t>
            </w:r>
          </w:p>
        </w:tc>
        <w:tc>
          <w:tcPr>
            <w:tcW w:w="884" w:type="dxa"/>
            <w:vMerge w:val="continue"/>
            <w:vAlign w:val="center"/>
          </w:tcPr>
          <w:p>
            <w:pPr>
              <w:spacing w:line="420" w:lineRule="exact"/>
              <w:jc w:val="center"/>
              <w:rPr>
                <w:rFonts w:hint="eastAsia" w:ascii="宋体" w:hAnsi="宋体" w:cs="宋体"/>
                <w:sz w:val="18"/>
                <w:szCs w:val="18"/>
              </w:rPr>
            </w:pP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5.5</w:t>
            </w:r>
          </w:p>
        </w:tc>
        <w:tc>
          <w:tcPr>
            <w:tcW w:w="830" w:type="dxa"/>
            <w:vMerge w:val="continue"/>
            <w:vAlign w:val="center"/>
          </w:tcPr>
          <w:p>
            <w:pPr>
              <w:spacing w:line="420" w:lineRule="exact"/>
              <w:jc w:val="center"/>
              <w:rPr>
                <w:rFonts w:hint="eastAsia" w:ascii="宋体" w:hAnsi="宋体" w:cs="宋体"/>
                <w:sz w:val="18"/>
                <w:szCs w:val="18"/>
              </w:rPr>
            </w:pP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3.3</w:t>
            </w:r>
          </w:p>
        </w:tc>
        <w:tc>
          <w:tcPr>
            <w:tcW w:w="256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根据对所列项的阐述进行评价，优</w:t>
            </w:r>
            <w:r>
              <w:rPr>
                <w:rFonts w:hint="eastAsia" w:ascii="宋体" w:hAnsi="宋体" w:cs="宋体"/>
                <w:sz w:val="18"/>
                <w:szCs w:val="18"/>
                <w:lang w:eastAsia="zh-CN"/>
              </w:rPr>
              <w:t>得</w:t>
            </w:r>
            <w:r>
              <w:rPr>
                <w:rFonts w:hint="eastAsia" w:ascii="宋体" w:hAnsi="宋体" w:cs="宋体"/>
                <w:sz w:val="18"/>
                <w:szCs w:val="18"/>
                <w:lang w:val="en-US" w:eastAsia="zh-CN"/>
              </w:rPr>
              <w:t>5.5分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4.4分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3.3分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915" w:type="dxa"/>
            <w:vAlign w:val="center"/>
          </w:tcPr>
          <w:p>
            <w:pPr>
              <w:spacing w:line="300" w:lineRule="exact"/>
              <w:rPr>
                <w:rFonts w:hint="eastAsia" w:ascii="宋体" w:hAnsi="宋体" w:cs="宋体"/>
                <w:sz w:val="16"/>
                <w:szCs w:val="16"/>
              </w:rPr>
            </w:pPr>
            <w:r>
              <w:rPr>
                <w:rFonts w:hint="eastAsia" w:ascii="宋体" w:hAnsi="宋体" w:cs="宋体"/>
                <w:sz w:val="16"/>
                <w:szCs w:val="16"/>
              </w:rPr>
              <w:t>投资控制的方案与措施</w:t>
            </w:r>
          </w:p>
        </w:tc>
        <w:tc>
          <w:tcPr>
            <w:tcW w:w="884" w:type="dxa"/>
            <w:vMerge w:val="continue"/>
            <w:vAlign w:val="center"/>
          </w:tcPr>
          <w:p>
            <w:pPr>
              <w:spacing w:line="420" w:lineRule="exact"/>
              <w:jc w:val="center"/>
              <w:rPr>
                <w:rFonts w:hint="eastAsia" w:ascii="宋体" w:hAnsi="宋体" w:cs="宋体"/>
                <w:sz w:val="18"/>
                <w:szCs w:val="18"/>
              </w:rPr>
            </w:pP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5</w:t>
            </w:r>
          </w:p>
        </w:tc>
        <w:tc>
          <w:tcPr>
            <w:tcW w:w="830" w:type="dxa"/>
            <w:vMerge w:val="continue"/>
            <w:vAlign w:val="center"/>
          </w:tcPr>
          <w:p>
            <w:pPr>
              <w:spacing w:line="420" w:lineRule="exact"/>
              <w:jc w:val="center"/>
              <w:rPr>
                <w:rFonts w:hint="eastAsia" w:ascii="宋体" w:hAnsi="宋体" w:cs="宋体"/>
                <w:sz w:val="18"/>
                <w:szCs w:val="18"/>
              </w:rPr>
            </w:pP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3.0</w:t>
            </w:r>
          </w:p>
        </w:tc>
        <w:tc>
          <w:tcPr>
            <w:tcW w:w="256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根据对所列项的阐述进行评价，优</w:t>
            </w:r>
            <w:r>
              <w:rPr>
                <w:rFonts w:hint="eastAsia" w:ascii="宋体" w:hAnsi="宋体" w:cs="宋体"/>
                <w:sz w:val="18"/>
                <w:szCs w:val="18"/>
                <w:lang w:eastAsia="zh-CN"/>
              </w:rPr>
              <w:t>得</w:t>
            </w:r>
            <w:r>
              <w:rPr>
                <w:rFonts w:hint="eastAsia" w:ascii="宋体" w:hAnsi="宋体" w:cs="宋体"/>
                <w:sz w:val="18"/>
                <w:szCs w:val="18"/>
                <w:lang w:val="en-US" w:eastAsia="zh-CN"/>
              </w:rPr>
              <w:t>5分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4分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915" w:type="dxa"/>
            <w:vAlign w:val="center"/>
          </w:tcPr>
          <w:p>
            <w:pPr>
              <w:spacing w:line="300" w:lineRule="exact"/>
              <w:rPr>
                <w:rFonts w:hint="eastAsia" w:ascii="宋体" w:hAnsi="宋体" w:cs="宋体"/>
                <w:sz w:val="16"/>
                <w:szCs w:val="16"/>
              </w:rPr>
            </w:pPr>
            <w:r>
              <w:rPr>
                <w:rFonts w:hint="eastAsia" w:ascii="宋体" w:hAnsi="宋体" w:cs="宋体"/>
                <w:sz w:val="16"/>
                <w:szCs w:val="16"/>
              </w:rPr>
              <w:t>进度控制的方案与措施</w:t>
            </w:r>
          </w:p>
        </w:tc>
        <w:tc>
          <w:tcPr>
            <w:tcW w:w="884" w:type="dxa"/>
            <w:vMerge w:val="continue"/>
            <w:vAlign w:val="center"/>
          </w:tcPr>
          <w:p>
            <w:pPr>
              <w:spacing w:line="420" w:lineRule="exact"/>
              <w:jc w:val="center"/>
              <w:rPr>
                <w:rFonts w:hint="eastAsia" w:ascii="宋体" w:hAnsi="宋体" w:cs="宋体"/>
                <w:sz w:val="18"/>
                <w:szCs w:val="18"/>
              </w:rPr>
            </w:pP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4.5</w:t>
            </w:r>
          </w:p>
        </w:tc>
        <w:tc>
          <w:tcPr>
            <w:tcW w:w="830" w:type="dxa"/>
            <w:vMerge w:val="continue"/>
            <w:vAlign w:val="center"/>
          </w:tcPr>
          <w:p>
            <w:pPr>
              <w:spacing w:line="420" w:lineRule="exact"/>
              <w:jc w:val="center"/>
              <w:rPr>
                <w:rFonts w:hint="eastAsia" w:ascii="宋体" w:hAnsi="宋体" w:cs="宋体"/>
                <w:sz w:val="18"/>
                <w:szCs w:val="18"/>
              </w:rPr>
            </w:pP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2.7</w:t>
            </w:r>
          </w:p>
        </w:tc>
        <w:tc>
          <w:tcPr>
            <w:tcW w:w="256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根据对所列项的阐述进行评价，优</w:t>
            </w:r>
            <w:r>
              <w:rPr>
                <w:rFonts w:hint="eastAsia" w:ascii="宋体" w:hAnsi="宋体" w:cs="宋体"/>
                <w:sz w:val="18"/>
                <w:szCs w:val="18"/>
                <w:lang w:eastAsia="zh-CN"/>
              </w:rPr>
              <w:t>得</w:t>
            </w:r>
            <w:r>
              <w:rPr>
                <w:rFonts w:hint="eastAsia" w:ascii="宋体" w:hAnsi="宋体" w:cs="宋体"/>
                <w:sz w:val="18"/>
                <w:szCs w:val="18"/>
                <w:lang w:val="en-US" w:eastAsia="zh-CN"/>
              </w:rPr>
              <w:t>4.5分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3.6分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2.7分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915" w:type="dxa"/>
            <w:vAlign w:val="center"/>
          </w:tcPr>
          <w:p>
            <w:pPr>
              <w:spacing w:line="300" w:lineRule="exact"/>
              <w:rPr>
                <w:rFonts w:hint="eastAsia" w:ascii="宋体" w:hAnsi="宋体" w:cs="宋体"/>
                <w:sz w:val="16"/>
                <w:szCs w:val="16"/>
              </w:rPr>
            </w:pPr>
            <w:r>
              <w:rPr>
                <w:rFonts w:hint="eastAsia" w:ascii="宋体" w:hAnsi="宋体" w:cs="宋体"/>
                <w:sz w:val="16"/>
                <w:szCs w:val="16"/>
              </w:rPr>
              <w:t>合同管理的方案与措施</w:t>
            </w:r>
          </w:p>
        </w:tc>
        <w:tc>
          <w:tcPr>
            <w:tcW w:w="884" w:type="dxa"/>
            <w:vMerge w:val="continue"/>
            <w:vAlign w:val="center"/>
          </w:tcPr>
          <w:p>
            <w:pPr>
              <w:spacing w:line="420" w:lineRule="exact"/>
              <w:jc w:val="center"/>
              <w:rPr>
                <w:rFonts w:hint="eastAsia" w:ascii="宋体" w:hAnsi="宋体" w:cs="宋体"/>
                <w:sz w:val="18"/>
                <w:szCs w:val="18"/>
              </w:rPr>
            </w:pP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2</w:t>
            </w:r>
          </w:p>
        </w:tc>
        <w:tc>
          <w:tcPr>
            <w:tcW w:w="830" w:type="dxa"/>
            <w:vMerge w:val="continue"/>
            <w:vAlign w:val="center"/>
          </w:tcPr>
          <w:p>
            <w:pPr>
              <w:spacing w:line="420" w:lineRule="exact"/>
              <w:jc w:val="center"/>
              <w:rPr>
                <w:rFonts w:hint="eastAsia" w:ascii="宋体" w:hAnsi="宋体" w:cs="宋体"/>
                <w:sz w:val="18"/>
                <w:szCs w:val="18"/>
              </w:rPr>
            </w:pP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1.2</w:t>
            </w:r>
          </w:p>
        </w:tc>
        <w:tc>
          <w:tcPr>
            <w:tcW w:w="256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根据对所列项的阐述进行评价，优</w:t>
            </w:r>
            <w:r>
              <w:rPr>
                <w:rFonts w:hint="eastAsia" w:ascii="宋体" w:hAnsi="宋体" w:cs="宋体"/>
                <w:sz w:val="18"/>
                <w:szCs w:val="18"/>
                <w:lang w:eastAsia="zh-CN"/>
              </w:rPr>
              <w:t>得</w:t>
            </w:r>
            <w:r>
              <w:rPr>
                <w:rFonts w:hint="eastAsia" w:ascii="宋体" w:hAnsi="宋体" w:cs="宋体"/>
                <w:sz w:val="18"/>
                <w:szCs w:val="18"/>
                <w:lang w:val="en-US" w:eastAsia="zh-CN"/>
              </w:rPr>
              <w:t>2分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1.6分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915" w:type="dxa"/>
            <w:vAlign w:val="center"/>
          </w:tcPr>
          <w:p>
            <w:pPr>
              <w:spacing w:line="300" w:lineRule="exact"/>
              <w:rPr>
                <w:rFonts w:hint="eastAsia" w:ascii="宋体" w:hAnsi="宋体" w:cs="宋体"/>
                <w:sz w:val="16"/>
                <w:szCs w:val="16"/>
              </w:rPr>
            </w:pPr>
            <w:r>
              <w:rPr>
                <w:rFonts w:hint="eastAsia" w:ascii="宋体" w:hAnsi="宋体" w:cs="宋体"/>
                <w:sz w:val="16"/>
                <w:szCs w:val="16"/>
              </w:rPr>
              <w:t>信息管理的方案与措施</w:t>
            </w:r>
          </w:p>
        </w:tc>
        <w:tc>
          <w:tcPr>
            <w:tcW w:w="884" w:type="dxa"/>
            <w:vMerge w:val="continue"/>
            <w:vAlign w:val="center"/>
          </w:tcPr>
          <w:p>
            <w:pPr>
              <w:spacing w:line="420" w:lineRule="exact"/>
              <w:jc w:val="center"/>
              <w:rPr>
                <w:rFonts w:hint="eastAsia" w:ascii="宋体" w:hAnsi="宋体" w:cs="宋体"/>
                <w:sz w:val="18"/>
                <w:szCs w:val="18"/>
              </w:rPr>
            </w:pP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1</w:t>
            </w:r>
          </w:p>
        </w:tc>
        <w:tc>
          <w:tcPr>
            <w:tcW w:w="830" w:type="dxa"/>
            <w:vMerge w:val="continue"/>
            <w:vAlign w:val="center"/>
          </w:tcPr>
          <w:p>
            <w:pPr>
              <w:spacing w:line="420" w:lineRule="exact"/>
              <w:jc w:val="center"/>
              <w:rPr>
                <w:rFonts w:hint="eastAsia" w:ascii="宋体" w:hAnsi="宋体" w:cs="宋体"/>
                <w:sz w:val="18"/>
                <w:szCs w:val="18"/>
              </w:rPr>
            </w:pP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0.6</w:t>
            </w:r>
          </w:p>
        </w:tc>
        <w:tc>
          <w:tcPr>
            <w:tcW w:w="256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根据对所列项的阐述进行评价，优</w:t>
            </w:r>
            <w:r>
              <w:rPr>
                <w:rFonts w:hint="eastAsia" w:ascii="宋体" w:hAnsi="宋体" w:cs="宋体"/>
                <w:sz w:val="18"/>
                <w:szCs w:val="18"/>
                <w:lang w:eastAsia="zh-CN"/>
              </w:rPr>
              <w:t>得</w:t>
            </w:r>
            <w:r>
              <w:rPr>
                <w:rFonts w:hint="eastAsia" w:ascii="宋体" w:hAnsi="宋体" w:cs="宋体"/>
                <w:sz w:val="18"/>
                <w:szCs w:val="18"/>
                <w:lang w:val="en-US" w:eastAsia="zh-CN"/>
              </w:rPr>
              <w:t>1分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0.8分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915" w:type="dxa"/>
            <w:vAlign w:val="center"/>
          </w:tcPr>
          <w:p>
            <w:pPr>
              <w:spacing w:line="300" w:lineRule="exact"/>
              <w:rPr>
                <w:rFonts w:hint="eastAsia" w:ascii="宋体" w:hAnsi="宋体" w:cs="宋体"/>
                <w:sz w:val="16"/>
                <w:szCs w:val="16"/>
              </w:rPr>
            </w:pPr>
            <w:r>
              <w:rPr>
                <w:rFonts w:hint="eastAsia" w:ascii="宋体" w:hAnsi="宋体" w:cs="宋体"/>
                <w:sz w:val="16"/>
                <w:szCs w:val="16"/>
              </w:rPr>
              <w:t>安全、环保及文明施工管理的方案与措施</w:t>
            </w:r>
          </w:p>
        </w:tc>
        <w:tc>
          <w:tcPr>
            <w:tcW w:w="884" w:type="dxa"/>
            <w:vMerge w:val="continue"/>
            <w:vAlign w:val="center"/>
          </w:tcPr>
          <w:p>
            <w:pPr>
              <w:spacing w:line="420" w:lineRule="exact"/>
              <w:jc w:val="center"/>
              <w:rPr>
                <w:rFonts w:hint="eastAsia" w:ascii="宋体" w:hAnsi="宋体" w:cs="宋体"/>
                <w:sz w:val="18"/>
                <w:szCs w:val="18"/>
              </w:rPr>
            </w:pP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1.5</w:t>
            </w:r>
          </w:p>
        </w:tc>
        <w:tc>
          <w:tcPr>
            <w:tcW w:w="830" w:type="dxa"/>
            <w:vMerge w:val="continue"/>
            <w:vAlign w:val="center"/>
          </w:tcPr>
          <w:p>
            <w:pPr>
              <w:spacing w:line="420" w:lineRule="exact"/>
              <w:jc w:val="center"/>
              <w:rPr>
                <w:rFonts w:hint="eastAsia" w:ascii="宋体" w:hAnsi="宋体" w:cs="宋体"/>
                <w:sz w:val="18"/>
                <w:szCs w:val="18"/>
              </w:rPr>
            </w:pP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0.9</w:t>
            </w:r>
          </w:p>
        </w:tc>
        <w:tc>
          <w:tcPr>
            <w:tcW w:w="256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根据对所列项的阐述进行评价，优</w:t>
            </w:r>
            <w:r>
              <w:rPr>
                <w:rFonts w:hint="eastAsia" w:ascii="宋体" w:hAnsi="宋体" w:cs="宋体"/>
                <w:sz w:val="18"/>
                <w:szCs w:val="18"/>
                <w:lang w:eastAsia="zh-CN"/>
              </w:rPr>
              <w:t>得</w:t>
            </w:r>
            <w:r>
              <w:rPr>
                <w:rFonts w:hint="eastAsia" w:ascii="宋体" w:hAnsi="宋体" w:cs="宋体"/>
                <w:sz w:val="18"/>
                <w:szCs w:val="18"/>
                <w:lang w:val="en-US" w:eastAsia="zh-CN"/>
              </w:rPr>
              <w:t>1.5分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1.2分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915" w:type="dxa"/>
            <w:vAlign w:val="center"/>
          </w:tcPr>
          <w:p>
            <w:pPr>
              <w:spacing w:line="300" w:lineRule="exact"/>
              <w:rPr>
                <w:rFonts w:hint="eastAsia" w:ascii="宋体" w:hAnsi="宋体" w:cs="宋体"/>
                <w:sz w:val="16"/>
                <w:szCs w:val="16"/>
              </w:rPr>
            </w:pPr>
            <w:r>
              <w:rPr>
                <w:rFonts w:hint="eastAsia" w:ascii="宋体" w:hAnsi="宋体" w:cs="宋体"/>
                <w:sz w:val="16"/>
                <w:szCs w:val="16"/>
              </w:rPr>
              <w:t>廉政建设方案与措施</w:t>
            </w:r>
          </w:p>
        </w:tc>
        <w:tc>
          <w:tcPr>
            <w:tcW w:w="884" w:type="dxa"/>
            <w:vMerge w:val="continue"/>
            <w:vAlign w:val="center"/>
          </w:tcPr>
          <w:p>
            <w:pPr>
              <w:spacing w:line="420" w:lineRule="exact"/>
              <w:jc w:val="center"/>
              <w:rPr>
                <w:rFonts w:hint="eastAsia" w:ascii="宋体" w:hAnsi="宋体" w:cs="宋体"/>
                <w:sz w:val="18"/>
                <w:szCs w:val="18"/>
              </w:rPr>
            </w:pP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0.5</w:t>
            </w:r>
          </w:p>
        </w:tc>
        <w:tc>
          <w:tcPr>
            <w:tcW w:w="830" w:type="dxa"/>
            <w:vMerge w:val="continue"/>
            <w:vAlign w:val="center"/>
          </w:tcPr>
          <w:p>
            <w:pPr>
              <w:spacing w:line="420" w:lineRule="exact"/>
              <w:jc w:val="center"/>
              <w:rPr>
                <w:rFonts w:hint="eastAsia" w:ascii="宋体" w:hAnsi="宋体" w:cs="宋体"/>
                <w:sz w:val="18"/>
                <w:szCs w:val="18"/>
              </w:rPr>
            </w:pP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0.3</w:t>
            </w:r>
          </w:p>
        </w:tc>
        <w:tc>
          <w:tcPr>
            <w:tcW w:w="256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根据对所列项的阐述进行评价，优</w:t>
            </w:r>
            <w:r>
              <w:rPr>
                <w:rFonts w:hint="eastAsia" w:ascii="宋体" w:hAnsi="宋体" w:cs="宋体"/>
                <w:sz w:val="18"/>
                <w:szCs w:val="18"/>
                <w:lang w:eastAsia="zh-CN"/>
              </w:rPr>
              <w:t>得</w:t>
            </w:r>
            <w:r>
              <w:rPr>
                <w:rFonts w:hint="eastAsia" w:ascii="宋体" w:hAnsi="宋体" w:cs="宋体"/>
                <w:sz w:val="18"/>
                <w:szCs w:val="18"/>
                <w:lang w:val="en-US" w:eastAsia="zh-CN"/>
              </w:rPr>
              <w:t>0.55分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0.4分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915" w:type="dxa"/>
            <w:vAlign w:val="center"/>
          </w:tcPr>
          <w:p>
            <w:pPr>
              <w:spacing w:line="300" w:lineRule="exact"/>
              <w:rPr>
                <w:rFonts w:hint="eastAsia" w:ascii="宋体" w:hAnsi="宋体" w:cs="宋体"/>
                <w:sz w:val="16"/>
                <w:szCs w:val="16"/>
              </w:rPr>
            </w:pPr>
            <w:r>
              <w:rPr>
                <w:rFonts w:hint="eastAsia" w:ascii="宋体" w:hAnsi="宋体" w:cs="宋体"/>
                <w:sz w:val="16"/>
                <w:szCs w:val="16"/>
              </w:rPr>
              <w:t>组织协调的方案与措施</w:t>
            </w:r>
          </w:p>
        </w:tc>
        <w:tc>
          <w:tcPr>
            <w:tcW w:w="884" w:type="dxa"/>
            <w:vMerge w:val="continue"/>
            <w:vAlign w:val="center"/>
          </w:tcPr>
          <w:p>
            <w:pPr>
              <w:spacing w:line="420" w:lineRule="exact"/>
              <w:jc w:val="center"/>
              <w:rPr>
                <w:rFonts w:hint="eastAsia" w:ascii="宋体" w:hAnsi="宋体" w:cs="宋体"/>
                <w:sz w:val="18"/>
                <w:szCs w:val="18"/>
              </w:rPr>
            </w:pP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1</w:t>
            </w:r>
          </w:p>
        </w:tc>
        <w:tc>
          <w:tcPr>
            <w:tcW w:w="830" w:type="dxa"/>
            <w:vMerge w:val="continue"/>
            <w:vAlign w:val="center"/>
          </w:tcPr>
          <w:p>
            <w:pPr>
              <w:spacing w:line="420" w:lineRule="exact"/>
              <w:jc w:val="center"/>
              <w:rPr>
                <w:rFonts w:hint="eastAsia" w:ascii="宋体" w:hAnsi="宋体" w:cs="宋体"/>
                <w:sz w:val="18"/>
                <w:szCs w:val="18"/>
              </w:rPr>
            </w:pP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0.6</w:t>
            </w:r>
          </w:p>
        </w:tc>
        <w:tc>
          <w:tcPr>
            <w:tcW w:w="256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根据对所列项的阐述进行评价，优</w:t>
            </w:r>
            <w:r>
              <w:rPr>
                <w:rFonts w:hint="eastAsia" w:ascii="宋体" w:hAnsi="宋体" w:cs="宋体"/>
                <w:sz w:val="18"/>
                <w:szCs w:val="18"/>
                <w:lang w:eastAsia="zh-CN"/>
              </w:rPr>
              <w:t>得</w:t>
            </w:r>
            <w:r>
              <w:rPr>
                <w:rFonts w:hint="eastAsia" w:ascii="宋体" w:hAnsi="宋体" w:cs="宋体"/>
                <w:sz w:val="18"/>
                <w:szCs w:val="18"/>
                <w:lang w:val="en-US" w:eastAsia="zh-CN"/>
              </w:rPr>
              <w:t>1分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0.8分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915" w:type="dxa"/>
            <w:vAlign w:val="center"/>
          </w:tcPr>
          <w:p>
            <w:pPr>
              <w:spacing w:line="300" w:lineRule="exact"/>
              <w:rPr>
                <w:rFonts w:hint="eastAsia" w:ascii="宋体" w:hAnsi="宋体" w:cs="宋体"/>
                <w:sz w:val="16"/>
                <w:szCs w:val="16"/>
              </w:rPr>
            </w:pPr>
            <w:r>
              <w:rPr>
                <w:rFonts w:hint="eastAsia" w:ascii="宋体" w:hAnsi="宋体" w:cs="宋体"/>
                <w:sz w:val="16"/>
                <w:szCs w:val="16"/>
              </w:rPr>
              <w:t>缺陷责任期监理的方案与措施</w:t>
            </w:r>
          </w:p>
        </w:tc>
        <w:tc>
          <w:tcPr>
            <w:tcW w:w="884" w:type="dxa"/>
            <w:vMerge w:val="continue"/>
            <w:vAlign w:val="center"/>
          </w:tcPr>
          <w:p>
            <w:pPr>
              <w:spacing w:line="420" w:lineRule="exact"/>
              <w:jc w:val="center"/>
              <w:rPr>
                <w:rFonts w:hint="eastAsia" w:ascii="宋体" w:hAnsi="宋体" w:cs="宋体"/>
                <w:sz w:val="18"/>
                <w:szCs w:val="18"/>
              </w:rPr>
            </w:pP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0.5</w:t>
            </w:r>
          </w:p>
        </w:tc>
        <w:tc>
          <w:tcPr>
            <w:tcW w:w="830" w:type="dxa"/>
            <w:vMerge w:val="continue"/>
            <w:vAlign w:val="center"/>
          </w:tcPr>
          <w:p>
            <w:pPr>
              <w:spacing w:line="420" w:lineRule="exact"/>
              <w:jc w:val="center"/>
              <w:rPr>
                <w:rFonts w:hint="eastAsia" w:ascii="宋体" w:hAnsi="宋体" w:cs="宋体"/>
                <w:sz w:val="18"/>
                <w:szCs w:val="18"/>
              </w:rPr>
            </w:pP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0.3</w:t>
            </w:r>
          </w:p>
        </w:tc>
        <w:tc>
          <w:tcPr>
            <w:tcW w:w="256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根据对所列项的阐述进行评价，优</w:t>
            </w:r>
            <w:r>
              <w:rPr>
                <w:rFonts w:hint="eastAsia" w:ascii="宋体" w:hAnsi="宋体" w:cs="宋体"/>
                <w:sz w:val="18"/>
                <w:szCs w:val="18"/>
                <w:lang w:eastAsia="zh-CN"/>
              </w:rPr>
              <w:t>得</w:t>
            </w:r>
            <w:r>
              <w:rPr>
                <w:rFonts w:hint="eastAsia" w:ascii="宋体" w:hAnsi="宋体" w:cs="宋体"/>
                <w:sz w:val="18"/>
                <w:szCs w:val="18"/>
                <w:lang w:val="en-US" w:eastAsia="zh-CN"/>
              </w:rPr>
              <w:t>0.5分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0.4分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vAlign w:val="center"/>
          </w:tcPr>
          <w:p>
            <w:pPr>
              <w:spacing w:line="420" w:lineRule="exact"/>
              <w:jc w:val="center"/>
              <w:rPr>
                <w:rFonts w:hint="eastAsia" w:ascii="宋体" w:hAnsi="宋体"/>
                <w:szCs w:val="21"/>
              </w:rPr>
            </w:pPr>
            <w:r>
              <w:rPr>
                <w:rFonts w:hint="eastAsia" w:ascii="宋体" w:hAnsi="宋体"/>
                <w:szCs w:val="21"/>
              </w:rPr>
              <w:t>2</w:t>
            </w:r>
          </w:p>
        </w:tc>
        <w:tc>
          <w:tcPr>
            <w:tcW w:w="804"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重点与难点分析</w:t>
            </w:r>
          </w:p>
        </w:tc>
        <w:tc>
          <w:tcPr>
            <w:tcW w:w="1915" w:type="dxa"/>
            <w:vAlign w:val="center"/>
          </w:tcPr>
          <w:p>
            <w:pPr>
              <w:spacing w:line="420" w:lineRule="exact"/>
              <w:jc w:val="left"/>
              <w:rPr>
                <w:rFonts w:hint="eastAsia" w:ascii="宋体" w:hAnsi="宋体" w:cs="宋体"/>
                <w:sz w:val="16"/>
                <w:szCs w:val="16"/>
              </w:rPr>
            </w:pPr>
            <w:r>
              <w:rPr>
                <w:rFonts w:hint="eastAsia" w:ascii="宋体" w:hAnsi="宋体" w:cs="宋体"/>
                <w:sz w:val="16"/>
                <w:szCs w:val="16"/>
              </w:rPr>
              <w:t>对本工程监理工作的重点分析</w:t>
            </w:r>
          </w:p>
        </w:tc>
        <w:tc>
          <w:tcPr>
            <w:tcW w:w="884"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14</w:t>
            </w: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6</w:t>
            </w:r>
          </w:p>
        </w:tc>
        <w:tc>
          <w:tcPr>
            <w:tcW w:w="830"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8.4</w:t>
            </w: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3.6</w:t>
            </w:r>
          </w:p>
        </w:tc>
        <w:tc>
          <w:tcPr>
            <w:tcW w:w="256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根据对本工程监理工作的重点的分析，优</w:t>
            </w:r>
            <w:r>
              <w:rPr>
                <w:rFonts w:hint="eastAsia" w:ascii="宋体" w:hAnsi="宋体" w:cs="宋体"/>
                <w:sz w:val="18"/>
                <w:szCs w:val="18"/>
                <w:lang w:eastAsia="zh-CN"/>
              </w:rPr>
              <w:t>得</w:t>
            </w:r>
            <w:r>
              <w:rPr>
                <w:rFonts w:hint="eastAsia" w:ascii="宋体" w:hAnsi="宋体" w:cs="宋体"/>
                <w:sz w:val="18"/>
                <w:szCs w:val="18"/>
                <w:lang w:val="en-US" w:eastAsia="zh-CN"/>
              </w:rPr>
              <w:t>6分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4.8分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915" w:type="dxa"/>
            <w:vAlign w:val="center"/>
          </w:tcPr>
          <w:p>
            <w:pPr>
              <w:spacing w:line="420" w:lineRule="exact"/>
              <w:jc w:val="left"/>
              <w:rPr>
                <w:rFonts w:hint="eastAsia" w:ascii="宋体" w:hAnsi="宋体" w:cs="宋体"/>
                <w:sz w:val="16"/>
                <w:szCs w:val="16"/>
              </w:rPr>
            </w:pPr>
            <w:r>
              <w:rPr>
                <w:rFonts w:hint="eastAsia" w:ascii="宋体" w:hAnsi="宋体" w:cs="宋体"/>
                <w:sz w:val="16"/>
                <w:szCs w:val="16"/>
              </w:rPr>
              <w:t>对本工程监理工作的难点分析</w:t>
            </w:r>
          </w:p>
        </w:tc>
        <w:tc>
          <w:tcPr>
            <w:tcW w:w="884" w:type="dxa"/>
            <w:vMerge w:val="continue"/>
            <w:vAlign w:val="center"/>
          </w:tcPr>
          <w:p>
            <w:pPr>
              <w:spacing w:line="420" w:lineRule="exact"/>
              <w:jc w:val="center"/>
              <w:rPr>
                <w:rFonts w:hint="eastAsia" w:ascii="宋体" w:hAnsi="宋体" w:cs="宋体"/>
                <w:sz w:val="18"/>
                <w:szCs w:val="18"/>
              </w:rPr>
            </w:pP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8</w:t>
            </w:r>
          </w:p>
        </w:tc>
        <w:tc>
          <w:tcPr>
            <w:tcW w:w="830" w:type="dxa"/>
            <w:vMerge w:val="continue"/>
            <w:vAlign w:val="center"/>
          </w:tcPr>
          <w:p>
            <w:pPr>
              <w:spacing w:line="420" w:lineRule="exact"/>
              <w:jc w:val="center"/>
              <w:rPr>
                <w:rFonts w:hint="eastAsia" w:ascii="宋体" w:hAnsi="宋体" w:cs="宋体"/>
                <w:sz w:val="18"/>
                <w:szCs w:val="18"/>
              </w:rPr>
            </w:pP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4.8</w:t>
            </w:r>
          </w:p>
        </w:tc>
        <w:tc>
          <w:tcPr>
            <w:tcW w:w="256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根据对本工程监理工作的难点的分析，优</w:t>
            </w:r>
            <w:r>
              <w:rPr>
                <w:rFonts w:hint="eastAsia" w:ascii="宋体" w:hAnsi="宋体" w:cs="宋体"/>
                <w:sz w:val="18"/>
                <w:szCs w:val="18"/>
                <w:lang w:eastAsia="zh-CN"/>
              </w:rPr>
              <w:t>得</w:t>
            </w:r>
            <w:r>
              <w:rPr>
                <w:rFonts w:hint="eastAsia" w:ascii="宋体" w:hAnsi="宋体" w:cs="宋体"/>
                <w:sz w:val="18"/>
                <w:szCs w:val="18"/>
                <w:lang w:val="en-US" w:eastAsia="zh-CN"/>
              </w:rPr>
              <w:t>8分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6.4分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spacing w:line="420" w:lineRule="exact"/>
              <w:jc w:val="center"/>
              <w:rPr>
                <w:rFonts w:hint="eastAsia" w:ascii="宋体" w:hAnsi="宋体"/>
                <w:szCs w:val="21"/>
              </w:rPr>
            </w:pPr>
            <w:r>
              <w:rPr>
                <w:rFonts w:hint="eastAsia" w:ascii="宋体" w:hAnsi="宋体"/>
                <w:szCs w:val="21"/>
              </w:rPr>
              <w:t>3</w:t>
            </w:r>
          </w:p>
        </w:tc>
        <w:tc>
          <w:tcPr>
            <w:tcW w:w="804"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建议</w:t>
            </w:r>
          </w:p>
        </w:tc>
        <w:tc>
          <w:tcPr>
            <w:tcW w:w="1915" w:type="dxa"/>
            <w:vAlign w:val="center"/>
          </w:tcPr>
          <w:p>
            <w:pPr>
              <w:spacing w:line="420" w:lineRule="exact"/>
              <w:ind w:right="-199" w:rightChars="-95"/>
              <w:jc w:val="left"/>
              <w:rPr>
                <w:rFonts w:hint="eastAsia" w:ascii="宋体" w:hAnsi="宋体" w:cs="宋体"/>
                <w:sz w:val="16"/>
                <w:szCs w:val="16"/>
              </w:rPr>
            </w:pPr>
            <w:r>
              <w:rPr>
                <w:rFonts w:hint="eastAsia" w:ascii="宋体" w:hAnsi="宋体" w:cs="宋体"/>
                <w:sz w:val="16"/>
                <w:szCs w:val="16"/>
              </w:rPr>
              <w:t>对本工程监理工作的建议</w:t>
            </w:r>
          </w:p>
        </w:tc>
        <w:tc>
          <w:tcPr>
            <w:tcW w:w="884"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10</w:t>
            </w:r>
          </w:p>
        </w:tc>
        <w:tc>
          <w:tcPr>
            <w:tcW w:w="1072"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10</w:t>
            </w:r>
          </w:p>
        </w:tc>
        <w:tc>
          <w:tcPr>
            <w:tcW w:w="830"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6</w:t>
            </w:r>
          </w:p>
        </w:tc>
        <w:tc>
          <w:tcPr>
            <w:tcW w:w="971"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6</w:t>
            </w:r>
          </w:p>
        </w:tc>
        <w:tc>
          <w:tcPr>
            <w:tcW w:w="256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根据对本工程监理工作的建议，优</w:t>
            </w:r>
            <w:r>
              <w:rPr>
                <w:rFonts w:hint="eastAsia" w:ascii="宋体" w:hAnsi="宋体" w:cs="宋体"/>
                <w:sz w:val="18"/>
                <w:szCs w:val="18"/>
                <w:lang w:eastAsia="zh-CN"/>
              </w:rPr>
              <w:t>得</w:t>
            </w:r>
            <w:r>
              <w:rPr>
                <w:rFonts w:hint="eastAsia" w:ascii="宋体" w:hAnsi="宋体" w:cs="宋体"/>
                <w:sz w:val="18"/>
                <w:szCs w:val="18"/>
                <w:lang w:val="en-US" w:eastAsia="zh-CN"/>
              </w:rPr>
              <w:t>10分</w:t>
            </w:r>
            <w:r>
              <w:rPr>
                <w:rFonts w:hint="eastAsia" w:ascii="宋体" w:hAnsi="宋体" w:cs="宋体"/>
                <w:sz w:val="18"/>
                <w:szCs w:val="18"/>
              </w:rPr>
              <w:t>、良</w:t>
            </w:r>
            <w:r>
              <w:rPr>
                <w:rFonts w:hint="eastAsia" w:ascii="宋体" w:hAnsi="宋体" w:cs="宋体"/>
                <w:sz w:val="18"/>
                <w:szCs w:val="18"/>
                <w:lang w:eastAsia="zh-CN"/>
              </w:rPr>
              <w:t>得</w:t>
            </w:r>
            <w:r>
              <w:rPr>
                <w:rFonts w:hint="eastAsia" w:ascii="宋体" w:hAnsi="宋体" w:cs="宋体"/>
                <w:sz w:val="18"/>
                <w:szCs w:val="18"/>
                <w:lang w:val="en-US" w:eastAsia="zh-CN"/>
              </w:rPr>
              <w:t>8分</w:t>
            </w:r>
            <w:r>
              <w:rPr>
                <w:rFonts w:hint="eastAsia" w:ascii="宋体" w:hAnsi="宋体" w:cs="宋体"/>
                <w:sz w:val="18"/>
                <w:szCs w:val="18"/>
              </w:rPr>
              <w:t>、合格</w:t>
            </w:r>
            <w:r>
              <w:rPr>
                <w:rFonts w:hint="eastAsia" w:ascii="宋体" w:hAnsi="宋体" w:cs="宋体"/>
                <w:sz w:val="18"/>
                <w:szCs w:val="18"/>
                <w:lang w:eastAsia="zh-CN"/>
              </w:rPr>
              <w:t>得</w:t>
            </w:r>
            <w:r>
              <w:rPr>
                <w:rFonts w:hint="eastAsia" w:ascii="宋体" w:hAnsi="宋体" w:cs="宋体"/>
                <w:sz w:val="18"/>
                <w:szCs w:val="18"/>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3365" w:type="dxa"/>
            <w:gridSpan w:val="3"/>
            <w:vAlign w:val="center"/>
          </w:tcPr>
          <w:p>
            <w:pPr>
              <w:spacing w:line="420" w:lineRule="exact"/>
              <w:jc w:val="center"/>
              <w:rPr>
                <w:rFonts w:hint="eastAsia" w:ascii="宋体" w:hAnsi="宋体" w:cs="宋体"/>
                <w:sz w:val="18"/>
                <w:szCs w:val="18"/>
              </w:rPr>
            </w:pPr>
            <w:r>
              <w:rPr>
                <w:rFonts w:hint="eastAsia" w:ascii="宋体" w:hAnsi="宋体" w:cs="宋体"/>
                <w:sz w:val="18"/>
                <w:szCs w:val="18"/>
              </w:rPr>
              <w:t>合计</w:t>
            </w:r>
          </w:p>
        </w:tc>
        <w:tc>
          <w:tcPr>
            <w:tcW w:w="1956" w:type="dxa"/>
            <w:gridSpan w:val="2"/>
            <w:vAlign w:val="center"/>
          </w:tcPr>
          <w:p>
            <w:pPr>
              <w:spacing w:line="420" w:lineRule="exact"/>
              <w:jc w:val="center"/>
              <w:rPr>
                <w:rFonts w:hint="eastAsia" w:ascii="宋体" w:hAnsi="宋体" w:cs="宋体"/>
                <w:sz w:val="18"/>
                <w:szCs w:val="18"/>
              </w:rPr>
            </w:pPr>
            <w:r>
              <w:rPr>
                <w:rFonts w:hint="eastAsia" w:ascii="宋体" w:hAnsi="宋体" w:cs="宋体"/>
                <w:sz w:val="18"/>
                <w:szCs w:val="18"/>
              </w:rPr>
              <w:t>48</w:t>
            </w:r>
          </w:p>
        </w:tc>
        <w:tc>
          <w:tcPr>
            <w:tcW w:w="1801" w:type="dxa"/>
            <w:gridSpan w:val="2"/>
            <w:vAlign w:val="center"/>
          </w:tcPr>
          <w:p>
            <w:pPr>
              <w:spacing w:line="420" w:lineRule="exact"/>
              <w:jc w:val="center"/>
              <w:rPr>
                <w:rFonts w:hint="eastAsia" w:ascii="宋体" w:hAnsi="宋体" w:cs="宋体"/>
                <w:sz w:val="18"/>
                <w:szCs w:val="18"/>
              </w:rPr>
            </w:pPr>
            <w:r>
              <w:rPr>
                <w:rFonts w:hint="eastAsia" w:ascii="宋体" w:hAnsi="宋体" w:cs="宋体"/>
                <w:sz w:val="18"/>
                <w:szCs w:val="18"/>
              </w:rPr>
              <w:t>28.8</w:t>
            </w:r>
          </w:p>
        </w:tc>
        <w:tc>
          <w:tcPr>
            <w:tcW w:w="2562" w:type="dxa"/>
            <w:vAlign w:val="center"/>
          </w:tcPr>
          <w:p>
            <w:pPr>
              <w:spacing w:line="420" w:lineRule="exact"/>
              <w:jc w:val="center"/>
              <w:rPr>
                <w:rFonts w:hint="eastAsia" w:ascii="宋体" w:hAnsi="宋体" w:cs="宋体"/>
                <w:sz w:val="18"/>
                <w:szCs w:val="18"/>
              </w:rPr>
            </w:pPr>
          </w:p>
        </w:tc>
      </w:tr>
    </w:tbl>
    <w:p>
      <w:pPr>
        <w:spacing w:line="420" w:lineRule="exact"/>
        <w:rPr>
          <w:rFonts w:hint="eastAsia" w:ascii="宋体" w:hAnsi="宋体"/>
          <w:color w:val="FF0000"/>
          <w:szCs w:val="21"/>
        </w:rPr>
      </w:pPr>
    </w:p>
    <w:p>
      <w:pPr>
        <w:spacing w:line="420" w:lineRule="exact"/>
        <w:jc w:val="center"/>
        <w:rPr>
          <w:rFonts w:hint="eastAsia" w:ascii="宋体" w:hAnsi="宋体"/>
          <w:b/>
          <w:bCs/>
          <w:sz w:val="32"/>
          <w:szCs w:val="32"/>
        </w:rPr>
      </w:pPr>
      <w:r>
        <w:rPr>
          <w:rFonts w:hint="eastAsia" w:ascii="宋体" w:hAnsi="宋体"/>
          <w:b/>
          <w:bCs/>
          <w:sz w:val="32"/>
          <w:szCs w:val="32"/>
        </w:rPr>
        <w:t>商务评审细则表</w:t>
      </w:r>
    </w:p>
    <w:tbl>
      <w:tblPr>
        <w:tblStyle w:val="7"/>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804"/>
        <w:gridCol w:w="1775"/>
        <w:gridCol w:w="913"/>
        <w:gridCol w:w="1044"/>
        <w:gridCol w:w="896"/>
        <w:gridCol w:w="1028"/>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vAlign w:val="center"/>
          </w:tcPr>
          <w:p>
            <w:pPr>
              <w:spacing w:line="420" w:lineRule="exact"/>
              <w:jc w:val="center"/>
              <w:rPr>
                <w:rFonts w:hint="eastAsia" w:ascii="宋体" w:hAnsi="宋体"/>
                <w:szCs w:val="21"/>
              </w:rPr>
            </w:pPr>
            <w:r>
              <w:rPr>
                <w:rFonts w:hint="eastAsia" w:ascii="宋体" w:hAnsi="宋体"/>
                <w:szCs w:val="21"/>
              </w:rPr>
              <w:t>序号</w:t>
            </w:r>
          </w:p>
        </w:tc>
        <w:tc>
          <w:tcPr>
            <w:tcW w:w="2579" w:type="dxa"/>
            <w:gridSpan w:val="2"/>
            <w:vMerge w:val="restart"/>
            <w:vAlign w:val="center"/>
          </w:tcPr>
          <w:p>
            <w:pPr>
              <w:spacing w:line="420" w:lineRule="exact"/>
              <w:jc w:val="center"/>
              <w:rPr>
                <w:rFonts w:hint="eastAsia" w:ascii="宋体" w:hAnsi="宋体"/>
                <w:szCs w:val="21"/>
              </w:rPr>
            </w:pPr>
            <w:r>
              <w:rPr>
                <w:rFonts w:hint="eastAsia" w:ascii="宋体" w:hAnsi="宋体"/>
                <w:szCs w:val="21"/>
              </w:rPr>
              <w:t>项目</w:t>
            </w:r>
          </w:p>
        </w:tc>
        <w:tc>
          <w:tcPr>
            <w:tcW w:w="3881" w:type="dxa"/>
            <w:gridSpan w:val="4"/>
            <w:vAlign w:val="center"/>
          </w:tcPr>
          <w:p>
            <w:pPr>
              <w:spacing w:line="420" w:lineRule="exact"/>
              <w:jc w:val="center"/>
              <w:rPr>
                <w:rFonts w:hint="eastAsia" w:ascii="宋体" w:hAnsi="宋体"/>
                <w:szCs w:val="21"/>
              </w:rPr>
            </w:pPr>
            <w:r>
              <w:rPr>
                <w:rFonts w:hint="eastAsia" w:ascii="宋体" w:hAnsi="宋体"/>
                <w:szCs w:val="21"/>
              </w:rPr>
              <w:t>分值</w:t>
            </w:r>
          </w:p>
        </w:tc>
        <w:tc>
          <w:tcPr>
            <w:tcW w:w="2578" w:type="dxa"/>
            <w:vMerge w:val="restart"/>
            <w:vAlign w:val="center"/>
          </w:tcPr>
          <w:p>
            <w:pPr>
              <w:spacing w:line="420" w:lineRule="exact"/>
              <w:jc w:val="center"/>
              <w:rPr>
                <w:rFonts w:hint="eastAsia" w:ascii="宋体" w:hAnsi="宋体"/>
                <w:szCs w:val="21"/>
              </w:rPr>
            </w:pPr>
            <w:r>
              <w:rPr>
                <w:rFonts w:hint="eastAsia" w:ascii="宋体" w:hAnsi="宋体"/>
                <w:szCs w:val="21"/>
              </w:rPr>
              <w:t>具体评分标准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46" w:type="dxa"/>
            <w:vMerge w:val="continue"/>
            <w:vAlign w:val="center"/>
          </w:tcPr>
          <w:p>
            <w:pPr>
              <w:spacing w:line="420" w:lineRule="exact"/>
              <w:jc w:val="center"/>
              <w:rPr>
                <w:rFonts w:hint="eastAsia" w:ascii="宋体" w:hAnsi="宋体"/>
                <w:szCs w:val="21"/>
              </w:rPr>
            </w:pPr>
          </w:p>
        </w:tc>
        <w:tc>
          <w:tcPr>
            <w:tcW w:w="2579" w:type="dxa"/>
            <w:gridSpan w:val="2"/>
            <w:vMerge w:val="continue"/>
            <w:vAlign w:val="center"/>
          </w:tcPr>
          <w:p>
            <w:pPr>
              <w:spacing w:line="420" w:lineRule="exact"/>
              <w:jc w:val="center"/>
              <w:rPr>
                <w:rFonts w:hint="eastAsia" w:ascii="宋体" w:hAnsi="宋体"/>
                <w:szCs w:val="21"/>
              </w:rPr>
            </w:pPr>
          </w:p>
        </w:tc>
        <w:tc>
          <w:tcPr>
            <w:tcW w:w="1957" w:type="dxa"/>
            <w:gridSpan w:val="2"/>
            <w:vAlign w:val="center"/>
          </w:tcPr>
          <w:p>
            <w:pPr>
              <w:spacing w:line="420" w:lineRule="exact"/>
              <w:jc w:val="center"/>
              <w:rPr>
                <w:rFonts w:hint="eastAsia" w:ascii="宋体" w:hAnsi="宋体"/>
                <w:szCs w:val="21"/>
              </w:rPr>
            </w:pPr>
            <w:r>
              <w:rPr>
                <w:rFonts w:hint="eastAsia" w:ascii="宋体" w:hAnsi="宋体"/>
                <w:szCs w:val="21"/>
              </w:rPr>
              <w:t>满分</w:t>
            </w:r>
          </w:p>
        </w:tc>
        <w:tc>
          <w:tcPr>
            <w:tcW w:w="1924" w:type="dxa"/>
            <w:gridSpan w:val="2"/>
            <w:vAlign w:val="center"/>
          </w:tcPr>
          <w:p>
            <w:pPr>
              <w:spacing w:line="420" w:lineRule="exact"/>
              <w:jc w:val="center"/>
              <w:rPr>
                <w:rFonts w:hint="eastAsia" w:ascii="宋体" w:hAnsi="宋体"/>
                <w:szCs w:val="21"/>
              </w:rPr>
            </w:pPr>
            <w:r>
              <w:rPr>
                <w:rFonts w:hint="eastAsia" w:ascii="宋体" w:hAnsi="宋体"/>
                <w:szCs w:val="21"/>
              </w:rPr>
              <w:t>基本分</w:t>
            </w:r>
          </w:p>
        </w:tc>
        <w:tc>
          <w:tcPr>
            <w:tcW w:w="2578" w:type="dxa"/>
            <w:vMerge w:val="continue"/>
            <w:vAlign w:val="center"/>
          </w:tcPr>
          <w:p>
            <w:pPr>
              <w:spacing w:line="4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46" w:type="dxa"/>
            <w:vMerge w:val="restart"/>
            <w:vAlign w:val="center"/>
          </w:tcPr>
          <w:p>
            <w:pPr>
              <w:spacing w:line="420" w:lineRule="exact"/>
              <w:jc w:val="center"/>
              <w:rPr>
                <w:rFonts w:hint="eastAsia" w:ascii="宋体" w:hAnsi="宋体"/>
                <w:szCs w:val="21"/>
              </w:rPr>
            </w:pPr>
            <w:r>
              <w:rPr>
                <w:rFonts w:hint="eastAsia" w:ascii="宋体" w:hAnsi="宋体"/>
                <w:szCs w:val="21"/>
              </w:rPr>
              <w:t>1</w:t>
            </w:r>
          </w:p>
        </w:tc>
        <w:tc>
          <w:tcPr>
            <w:tcW w:w="804"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监理人员及机构设置</w:t>
            </w:r>
          </w:p>
        </w:tc>
        <w:tc>
          <w:tcPr>
            <w:tcW w:w="1775" w:type="dxa"/>
            <w:vAlign w:val="center"/>
          </w:tcPr>
          <w:p>
            <w:pPr>
              <w:spacing w:line="300" w:lineRule="exact"/>
              <w:jc w:val="center"/>
              <w:rPr>
                <w:rFonts w:hint="eastAsia" w:ascii="宋体" w:hAnsi="宋体" w:cs="宋体"/>
                <w:sz w:val="18"/>
                <w:szCs w:val="18"/>
              </w:rPr>
            </w:pPr>
            <w:r>
              <w:rPr>
                <w:rFonts w:hint="eastAsia" w:ascii="宋体" w:hAnsi="宋体" w:cs="宋体"/>
                <w:sz w:val="18"/>
                <w:szCs w:val="18"/>
              </w:rPr>
              <w:t>自有人员比例</w:t>
            </w:r>
          </w:p>
        </w:tc>
        <w:tc>
          <w:tcPr>
            <w:tcW w:w="913"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17</w:t>
            </w:r>
          </w:p>
        </w:tc>
        <w:tc>
          <w:tcPr>
            <w:tcW w:w="1044"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3</w:t>
            </w:r>
          </w:p>
        </w:tc>
        <w:tc>
          <w:tcPr>
            <w:tcW w:w="896"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10.2</w:t>
            </w:r>
          </w:p>
        </w:tc>
        <w:tc>
          <w:tcPr>
            <w:tcW w:w="1028"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1.8</w:t>
            </w:r>
          </w:p>
        </w:tc>
        <w:tc>
          <w:tcPr>
            <w:tcW w:w="2578" w:type="dxa"/>
            <w:vAlign w:val="center"/>
          </w:tcPr>
          <w:p>
            <w:pPr>
              <w:spacing w:line="260" w:lineRule="exact"/>
              <w:jc w:val="left"/>
              <w:rPr>
                <w:rFonts w:hint="eastAsia" w:ascii="宋体" w:hAnsi="宋体" w:cs="宋体"/>
                <w:sz w:val="16"/>
                <w:szCs w:val="16"/>
              </w:rPr>
            </w:pPr>
            <w:r>
              <w:rPr>
                <w:rFonts w:hint="eastAsia" w:ascii="宋体" w:hAnsi="宋体" w:cs="宋体"/>
                <w:sz w:val="16"/>
                <w:szCs w:val="16"/>
              </w:rPr>
              <w:t>投标人自有人员比例达到50%以上得基本分1.8分。每多1人加0.1分，最多加1.2分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775" w:type="dxa"/>
            <w:vAlign w:val="center"/>
          </w:tcPr>
          <w:p>
            <w:pPr>
              <w:spacing w:line="300" w:lineRule="exact"/>
              <w:jc w:val="center"/>
              <w:rPr>
                <w:rFonts w:hint="eastAsia" w:ascii="宋体" w:hAnsi="宋体" w:cs="宋体"/>
                <w:sz w:val="18"/>
                <w:szCs w:val="18"/>
              </w:rPr>
            </w:pPr>
            <w:r>
              <w:rPr>
                <w:rFonts w:hint="eastAsia" w:ascii="宋体" w:hAnsi="宋体" w:cs="宋体"/>
                <w:sz w:val="18"/>
                <w:szCs w:val="18"/>
              </w:rPr>
              <w:t>总监理工程师</w:t>
            </w:r>
          </w:p>
        </w:tc>
        <w:tc>
          <w:tcPr>
            <w:tcW w:w="913" w:type="dxa"/>
            <w:vMerge w:val="continue"/>
            <w:vAlign w:val="center"/>
          </w:tcPr>
          <w:p>
            <w:pPr>
              <w:spacing w:line="420" w:lineRule="exact"/>
              <w:jc w:val="center"/>
              <w:rPr>
                <w:rFonts w:hint="eastAsia" w:ascii="宋体" w:hAnsi="宋体" w:cs="宋体"/>
                <w:sz w:val="18"/>
                <w:szCs w:val="18"/>
              </w:rPr>
            </w:pPr>
          </w:p>
        </w:tc>
        <w:tc>
          <w:tcPr>
            <w:tcW w:w="1044"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6</w:t>
            </w:r>
          </w:p>
        </w:tc>
        <w:tc>
          <w:tcPr>
            <w:tcW w:w="896" w:type="dxa"/>
            <w:vMerge w:val="continue"/>
            <w:vAlign w:val="center"/>
          </w:tcPr>
          <w:p>
            <w:pPr>
              <w:spacing w:line="420" w:lineRule="exact"/>
              <w:jc w:val="center"/>
              <w:rPr>
                <w:rFonts w:hint="eastAsia" w:ascii="宋体" w:hAnsi="宋体" w:cs="宋体"/>
                <w:sz w:val="18"/>
                <w:szCs w:val="18"/>
              </w:rPr>
            </w:pPr>
          </w:p>
        </w:tc>
        <w:tc>
          <w:tcPr>
            <w:tcW w:w="1028"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3.6</w:t>
            </w:r>
          </w:p>
        </w:tc>
        <w:tc>
          <w:tcPr>
            <w:tcW w:w="2578" w:type="dxa"/>
            <w:vAlign w:val="center"/>
          </w:tcPr>
          <w:p>
            <w:pPr>
              <w:spacing w:line="260" w:lineRule="exact"/>
              <w:jc w:val="left"/>
              <w:rPr>
                <w:rFonts w:hint="eastAsia" w:ascii="宋体" w:hAnsi="宋体" w:cs="宋体"/>
                <w:sz w:val="16"/>
                <w:szCs w:val="16"/>
              </w:rPr>
            </w:pPr>
            <w:r>
              <w:rPr>
                <w:rFonts w:hint="eastAsia" w:ascii="宋体" w:hAnsi="宋体" w:cs="宋体"/>
                <w:sz w:val="16"/>
                <w:szCs w:val="16"/>
              </w:rPr>
              <w:t>总监理工程师为投标人自有人员且资格达到资格审查强制性条件最低要求的，得基本分3.6分。</w:t>
            </w:r>
          </w:p>
          <w:p>
            <w:pPr>
              <w:spacing w:line="260" w:lineRule="exact"/>
              <w:jc w:val="left"/>
              <w:rPr>
                <w:rFonts w:hint="eastAsia" w:ascii="宋体" w:hAnsi="宋体" w:cs="宋体"/>
                <w:sz w:val="16"/>
                <w:szCs w:val="16"/>
              </w:rPr>
            </w:pPr>
            <w:r>
              <w:rPr>
                <w:rFonts w:hint="eastAsia" w:ascii="宋体" w:hAnsi="宋体" w:cs="宋体"/>
                <w:sz w:val="16"/>
                <w:szCs w:val="16"/>
              </w:rPr>
              <w:t>总监理工程师每多一年一级公路监理经历加0.4分，最多加1.2分；</w:t>
            </w:r>
          </w:p>
          <w:p>
            <w:pPr>
              <w:spacing w:line="260" w:lineRule="exact"/>
              <w:jc w:val="left"/>
              <w:rPr>
                <w:rFonts w:hint="eastAsia" w:ascii="宋体" w:hAnsi="宋体" w:cs="宋体"/>
                <w:sz w:val="16"/>
                <w:szCs w:val="16"/>
              </w:rPr>
            </w:pPr>
            <w:r>
              <w:rPr>
                <w:rFonts w:hint="eastAsia" w:ascii="宋体" w:hAnsi="宋体" w:cs="宋体"/>
                <w:sz w:val="16"/>
                <w:szCs w:val="16"/>
              </w:rPr>
              <w:t>总监理工程师在担任1项公路工程总监职务的基础上，每多担任1项1级公路总监、副总监、驻地监理工程师、副驻地监理工程师职务加0.6分，最多加1.2分。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775" w:type="dxa"/>
            <w:vAlign w:val="center"/>
          </w:tcPr>
          <w:p>
            <w:pPr>
              <w:spacing w:line="300" w:lineRule="exact"/>
              <w:jc w:val="center"/>
              <w:rPr>
                <w:rFonts w:hint="eastAsia" w:ascii="宋体" w:hAnsi="宋体" w:cs="宋体"/>
                <w:sz w:val="18"/>
                <w:szCs w:val="18"/>
              </w:rPr>
            </w:pPr>
            <w:r>
              <w:rPr>
                <w:rFonts w:hint="eastAsia" w:ascii="宋体" w:hAnsi="宋体" w:cs="宋体"/>
                <w:sz w:val="18"/>
                <w:szCs w:val="18"/>
              </w:rPr>
              <w:t>备选总监理工程师</w:t>
            </w:r>
          </w:p>
        </w:tc>
        <w:tc>
          <w:tcPr>
            <w:tcW w:w="913" w:type="dxa"/>
            <w:vMerge w:val="continue"/>
            <w:vAlign w:val="center"/>
          </w:tcPr>
          <w:p>
            <w:pPr>
              <w:spacing w:line="420" w:lineRule="exact"/>
              <w:jc w:val="center"/>
              <w:rPr>
                <w:rFonts w:hint="eastAsia" w:ascii="宋体" w:hAnsi="宋体" w:cs="宋体"/>
                <w:sz w:val="18"/>
                <w:szCs w:val="18"/>
              </w:rPr>
            </w:pPr>
          </w:p>
        </w:tc>
        <w:tc>
          <w:tcPr>
            <w:tcW w:w="1044"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6</w:t>
            </w:r>
          </w:p>
        </w:tc>
        <w:tc>
          <w:tcPr>
            <w:tcW w:w="896" w:type="dxa"/>
            <w:vMerge w:val="continue"/>
            <w:vAlign w:val="center"/>
          </w:tcPr>
          <w:p>
            <w:pPr>
              <w:spacing w:line="420" w:lineRule="exact"/>
              <w:jc w:val="center"/>
              <w:rPr>
                <w:rFonts w:hint="eastAsia" w:ascii="宋体" w:hAnsi="宋体" w:cs="宋体"/>
                <w:sz w:val="18"/>
                <w:szCs w:val="18"/>
              </w:rPr>
            </w:pPr>
          </w:p>
        </w:tc>
        <w:tc>
          <w:tcPr>
            <w:tcW w:w="1028"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3.6</w:t>
            </w:r>
          </w:p>
        </w:tc>
        <w:tc>
          <w:tcPr>
            <w:tcW w:w="2578" w:type="dxa"/>
            <w:vAlign w:val="center"/>
          </w:tcPr>
          <w:p>
            <w:pPr>
              <w:spacing w:line="260" w:lineRule="exact"/>
              <w:jc w:val="left"/>
              <w:rPr>
                <w:rFonts w:hint="eastAsia" w:ascii="宋体" w:hAnsi="宋体" w:cs="宋体"/>
                <w:sz w:val="16"/>
                <w:szCs w:val="16"/>
              </w:rPr>
            </w:pPr>
            <w:r>
              <w:rPr>
                <w:rFonts w:hint="eastAsia" w:ascii="宋体" w:hAnsi="宋体" w:cs="宋体"/>
                <w:sz w:val="16"/>
                <w:szCs w:val="16"/>
              </w:rPr>
              <w:t>总监理工程师为投标人自有人员且资格达到资格审查强制性条件最低要求的，得基本分3.6分。</w:t>
            </w:r>
          </w:p>
          <w:p>
            <w:pPr>
              <w:spacing w:line="260" w:lineRule="exact"/>
              <w:jc w:val="left"/>
              <w:rPr>
                <w:rFonts w:hint="eastAsia" w:ascii="宋体" w:hAnsi="宋体" w:cs="宋体"/>
                <w:sz w:val="16"/>
                <w:szCs w:val="16"/>
              </w:rPr>
            </w:pPr>
            <w:r>
              <w:rPr>
                <w:rFonts w:hint="eastAsia" w:ascii="宋体" w:hAnsi="宋体" w:cs="宋体"/>
                <w:sz w:val="16"/>
                <w:szCs w:val="16"/>
              </w:rPr>
              <w:t>总监理工程师每多一年一级公路监理经历加0.4分，最多加1.2分；</w:t>
            </w:r>
          </w:p>
          <w:p>
            <w:pPr>
              <w:spacing w:line="260" w:lineRule="exact"/>
              <w:jc w:val="left"/>
              <w:rPr>
                <w:rFonts w:hint="eastAsia" w:ascii="宋体" w:hAnsi="宋体" w:cs="宋体"/>
                <w:sz w:val="16"/>
                <w:szCs w:val="16"/>
              </w:rPr>
            </w:pPr>
            <w:r>
              <w:rPr>
                <w:rFonts w:hint="eastAsia" w:ascii="宋体" w:hAnsi="宋体" w:cs="宋体"/>
                <w:sz w:val="16"/>
                <w:szCs w:val="16"/>
              </w:rPr>
              <w:t>总监理工程师在担任1项公路工程总监职务的基础上，每多担任1项1级公路总监、副总监、驻地监理工程师、副驻地监理工程师职务加0.6分，最多加1.2分。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775" w:type="dxa"/>
            <w:vAlign w:val="center"/>
          </w:tcPr>
          <w:p>
            <w:pPr>
              <w:spacing w:line="300" w:lineRule="exact"/>
              <w:jc w:val="center"/>
              <w:rPr>
                <w:rFonts w:hint="eastAsia" w:ascii="宋体" w:hAnsi="宋体" w:cs="宋体"/>
                <w:sz w:val="18"/>
                <w:szCs w:val="18"/>
              </w:rPr>
            </w:pPr>
            <w:r>
              <w:rPr>
                <w:rFonts w:hint="eastAsia" w:ascii="宋体" w:hAnsi="宋体" w:cs="宋体"/>
                <w:sz w:val="18"/>
                <w:szCs w:val="18"/>
              </w:rPr>
              <w:t>机构设置</w:t>
            </w:r>
          </w:p>
        </w:tc>
        <w:tc>
          <w:tcPr>
            <w:tcW w:w="913" w:type="dxa"/>
            <w:vMerge w:val="continue"/>
            <w:vAlign w:val="center"/>
          </w:tcPr>
          <w:p>
            <w:pPr>
              <w:spacing w:line="420" w:lineRule="exact"/>
              <w:jc w:val="center"/>
              <w:rPr>
                <w:rFonts w:hint="eastAsia" w:ascii="宋体" w:hAnsi="宋体" w:cs="宋体"/>
                <w:sz w:val="18"/>
                <w:szCs w:val="18"/>
              </w:rPr>
            </w:pPr>
          </w:p>
        </w:tc>
        <w:tc>
          <w:tcPr>
            <w:tcW w:w="1044"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2</w:t>
            </w:r>
          </w:p>
        </w:tc>
        <w:tc>
          <w:tcPr>
            <w:tcW w:w="896" w:type="dxa"/>
            <w:vMerge w:val="continue"/>
            <w:vAlign w:val="center"/>
          </w:tcPr>
          <w:p>
            <w:pPr>
              <w:spacing w:line="420" w:lineRule="exact"/>
              <w:jc w:val="center"/>
              <w:rPr>
                <w:rFonts w:hint="eastAsia" w:ascii="宋体" w:hAnsi="宋体" w:cs="宋体"/>
                <w:sz w:val="18"/>
                <w:szCs w:val="18"/>
              </w:rPr>
            </w:pPr>
          </w:p>
        </w:tc>
        <w:tc>
          <w:tcPr>
            <w:tcW w:w="1028"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1.2</w:t>
            </w:r>
          </w:p>
        </w:tc>
        <w:tc>
          <w:tcPr>
            <w:tcW w:w="2578" w:type="dxa"/>
            <w:vAlign w:val="center"/>
          </w:tcPr>
          <w:p>
            <w:pPr>
              <w:spacing w:line="260" w:lineRule="exact"/>
              <w:jc w:val="left"/>
              <w:rPr>
                <w:rFonts w:hint="eastAsia" w:ascii="宋体" w:hAnsi="宋体" w:cs="宋体"/>
                <w:sz w:val="16"/>
                <w:szCs w:val="16"/>
              </w:rPr>
            </w:pPr>
            <w:r>
              <w:rPr>
                <w:rFonts w:hint="eastAsia" w:ascii="宋体" w:hAnsi="宋体" w:cs="宋体"/>
                <w:sz w:val="16"/>
                <w:szCs w:val="16"/>
              </w:rPr>
              <w:t>视组织机构框图的完善及明晰程度，适当加1.2-2.0分。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vAlign w:val="center"/>
          </w:tcPr>
          <w:p>
            <w:pPr>
              <w:spacing w:line="420" w:lineRule="exact"/>
              <w:jc w:val="center"/>
              <w:rPr>
                <w:rFonts w:hint="eastAsia" w:ascii="宋体" w:hAnsi="宋体"/>
                <w:szCs w:val="21"/>
              </w:rPr>
            </w:pPr>
            <w:r>
              <w:rPr>
                <w:rFonts w:hint="eastAsia" w:ascii="宋体" w:hAnsi="宋体"/>
                <w:szCs w:val="21"/>
              </w:rPr>
              <w:t>2</w:t>
            </w:r>
          </w:p>
        </w:tc>
        <w:tc>
          <w:tcPr>
            <w:tcW w:w="804"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监理设施和设备</w:t>
            </w:r>
          </w:p>
        </w:tc>
        <w:tc>
          <w:tcPr>
            <w:tcW w:w="1775" w:type="dxa"/>
            <w:vAlign w:val="center"/>
          </w:tcPr>
          <w:p>
            <w:pPr>
              <w:spacing w:line="300" w:lineRule="exact"/>
              <w:jc w:val="center"/>
              <w:rPr>
                <w:rFonts w:hint="eastAsia" w:ascii="宋体" w:hAnsi="宋体" w:cs="宋体"/>
                <w:sz w:val="18"/>
                <w:szCs w:val="18"/>
              </w:rPr>
            </w:pPr>
            <w:r>
              <w:rPr>
                <w:rFonts w:hint="eastAsia" w:ascii="宋体" w:hAnsi="宋体" w:cs="宋体"/>
                <w:sz w:val="18"/>
                <w:szCs w:val="18"/>
              </w:rPr>
              <w:t>监理办公设施</w:t>
            </w:r>
          </w:p>
        </w:tc>
        <w:tc>
          <w:tcPr>
            <w:tcW w:w="913"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10</w:t>
            </w:r>
          </w:p>
        </w:tc>
        <w:tc>
          <w:tcPr>
            <w:tcW w:w="1044"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5</w:t>
            </w:r>
          </w:p>
        </w:tc>
        <w:tc>
          <w:tcPr>
            <w:tcW w:w="896"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6</w:t>
            </w:r>
          </w:p>
        </w:tc>
        <w:tc>
          <w:tcPr>
            <w:tcW w:w="1028"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3.0</w:t>
            </w:r>
          </w:p>
        </w:tc>
        <w:tc>
          <w:tcPr>
            <w:tcW w:w="2578" w:type="dxa"/>
            <w:vAlign w:val="center"/>
          </w:tcPr>
          <w:p>
            <w:pPr>
              <w:spacing w:line="260" w:lineRule="exact"/>
              <w:jc w:val="left"/>
              <w:rPr>
                <w:rFonts w:hint="eastAsia" w:ascii="宋体" w:hAnsi="宋体" w:cs="宋体"/>
                <w:sz w:val="16"/>
                <w:szCs w:val="16"/>
              </w:rPr>
            </w:pPr>
            <w:r>
              <w:rPr>
                <w:rFonts w:hint="eastAsia" w:ascii="宋体" w:hAnsi="宋体" w:cs="宋体"/>
                <w:sz w:val="16"/>
                <w:szCs w:val="16"/>
              </w:rPr>
              <w:t>监理办公设施满足招标文件附件5-5要求的，得基本分3.0分。办公面积，每项增加10平方米，加0.4分，最多加0.8分；办公设施，每项增加数量，加0.1分，最多加0.6分；车辆，增加1辆车，加0.3分，最多加0.6分。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775" w:type="dxa"/>
            <w:vAlign w:val="center"/>
          </w:tcPr>
          <w:p>
            <w:pPr>
              <w:spacing w:line="300" w:lineRule="exact"/>
              <w:jc w:val="center"/>
              <w:rPr>
                <w:rFonts w:hint="eastAsia" w:ascii="宋体" w:hAnsi="宋体" w:cs="宋体"/>
                <w:sz w:val="18"/>
                <w:szCs w:val="18"/>
              </w:rPr>
            </w:pPr>
            <w:r>
              <w:rPr>
                <w:rFonts w:hint="eastAsia" w:ascii="宋体" w:hAnsi="宋体" w:cs="宋体"/>
                <w:sz w:val="18"/>
                <w:szCs w:val="18"/>
              </w:rPr>
              <w:t>监理生活设施</w:t>
            </w:r>
          </w:p>
        </w:tc>
        <w:tc>
          <w:tcPr>
            <w:tcW w:w="913" w:type="dxa"/>
            <w:vMerge w:val="continue"/>
            <w:vAlign w:val="center"/>
          </w:tcPr>
          <w:p>
            <w:pPr>
              <w:spacing w:line="420" w:lineRule="exact"/>
              <w:jc w:val="center"/>
              <w:rPr>
                <w:rFonts w:hint="eastAsia" w:ascii="宋体" w:hAnsi="宋体" w:cs="宋体"/>
                <w:sz w:val="18"/>
                <w:szCs w:val="18"/>
              </w:rPr>
            </w:pPr>
          </w:p>
        </w:tc>
        <w:tc>
          <w:tcPr>
            <w:tcW w:w="1044"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3</w:t>
            </w:r>
          </w:p>
        </w:tc>
        <w:tc>
          <w:tcPr>
            <w:tcW w:w="896" w:type="dxa"/>
            <w:vMerge w:val="continue"/>
            <w:vAlign w:val="center"/>
          </w:tcPr>
          <w:p>
            <w:pPr>
              <w:spacing w:line="420" w:lineRule="exact"/>
              <w:jc w:val="center"/>
              <w:rPr>
                <w:rFonts w:hint="eastAsia" w:ascii="宋体" w:hAnsi="宋体" w:cs="宋体"/>
                <w:sz w:val="18"/>
                <w:szCs w:val="18"/>
              </w:rPr>
            </w:pPr>
          </w:p>
        </w:tc>
        <w:tc>
          <w:tcPr>
            <w:tcW w:w="1028"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1.8</w:t>
            </w:r>
          </w:p>
        </w:tc>
        <w:tc>
          <w:tcPr>
            <w:tcW w:w="2578" w:type="dxa"/>
            <w:vAlign w:val="center"/>
          </w:tcPr>
          <w:p>
            <w:pPr>
              <w:spacing w:line="260" w:lineRule="exact"/>
              <w:jc w:val="left"/>
              <w:rPr>
                <w:rFonts w:hint="eastAsia" w:ascii="宋体" w:hAnsi="宋体" w:cs="宋体"/>
                <w:sz w:val="16"/>
                <w:szCs w:val="16"/>
              </w:rPr>
            </w:pPr>
            <w:r>
              <w:rPr>
                <w:rFonts w:hint="eastAsia" w:ascii="宋体" w:hAnsi="宋体" w:cs="宋体"/>
                <w:sz w:val="16"/>
                <w:szCs w:val="16"/>
              </w:rPr>
              <w:t>监理生活设施满足招标文件附件5-5要求的，得基本分1.8分。生活区面积，每项增加20平方米，加0.6分，最多加1.2分。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775" w:type="dxa"/>
            <w:vAlign w:val="center"/>
          </w:tcPr>
          <w:p>
            <w:pPr>
              <w:spacing w:line="300" w:lineRule="exact"/>
              <w:jc w:val="center"/>
              <w:rPr>
                <w:rFonts w:hint="eastAsia" w:ascii="宋体" w:hAnsi="宋体" w:cs="宋体"/>
                <w:sz w:val="18"/>
                <w:szCs w:val="18"/>
              </w:rPr>
            </w:pPr>
            <w:r>
              <w:rPr>
                <w:rFonts w:hint="eastAsia" w:ascii="宋体" w:hAnsi="宋体" w:cs="宋体"/>
                <w:sz w:val="18"/>
                <w:szCs w:val="18"/>
              </w:rPr>
              <w:t>监理仪器设备</w:t>
            </w:r>
          </w:p>
        </w:tc>
        <w:tc>
          <w:tcPr>
            <w:tcW w:w="913" w:type="dxa"/>
            <w:vMerge w:val="continue"/>
            <w:vAlign w:val="center"/>
          </w:tcPr>
          <w:p>
            <w:pPr>
              <w:spacing w:line="420" w:lineRule="exact"/>
              <w:jc w:val="center"/>
              <w:rPr>
                <w:rFonts w:hint="eastAsia" w:ascii="宋体" w:hAnsi="宋体" w:cs="宋体"/>
                <w:sz w:val="18"/>
                <w:szCs w:val="18"/>
              </w:rPr>
            </w:pPr>
          </w:p>
        </w:tc>
        <w:tc>
          <w:tcPr>
            <w:tcW w:w="1044"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2</w:t>
            </w:r>
          </w:p>
        </w:tc>
        <w:tc>
          <w:tcPr>
            <w:tcW w:w="896" w:type="dxa"/>
            <w:vMerge w:val="continue"/>
            <w:vAlign w:val="center"/>
          </w:tcPr>
          <w:p>
            <w:pPr>
              <w:spacing w:line="420" w:lineRule="exact"/>
              <w:jc w:val="center"/>
              <w:rPr>
                <w:rFonts w:hint="eastAsia" w:ascii="宋体" w:hAnsi="宋体" w:cs="宋体"/>
                <w:sz w:val="18"/>
                <w:szCs w:val="18"/>
              </w:rPr>
            </w:pPr>
          </w:p>
        </w:tc>
        <w:tc>
          <w:tcPr>
            <w:tcW w:w="1028"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1.2</w:t>
            </w:r>
          </w:p>
        </w:tc>
        <w:tc>
          <w:tcPr>
            <w:tcW w:w="2578" w:type="dxa"/>
            <w:vAlign w:val="center"/>
          </w:tcPr>
          <w:p>
            <w:pPr>
              <w:spacing w:line="260" w:lineRule="exact"/>
              <w:jc w:val="left"/>
              <w:rPr>
                <w:rFonts w:hint="eastAsia" w:ascii="宋体" w:hAnsi="宋体" w:cs="宋体"/>
                <w:sz w:val="16"/>
                <w:szCs w:val="16"/>
              </w:rPr>
            </w:pPr>
            <w:r>
              <w:rPr>
                <w:rFonts w:hint="eastAsia" w:ascii="宋体" w:hAnsi="宋体" w:cs="宋体"/>
                <w:sz w:val="16"/>
                <w:szCs w:val="16"/>
              </w:rPr>
              <w:t>监理仪器设备达到资格审查强制性条件最低要求的，计1.2分。视监理仪器设备的配置情况酌情加分，最多加0.8分。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46" w:type="dxa"/>
            <w:vMerge w:val="restart"/>
            <w:vAlign w:val="center"/>
          </w:tcPr>
          <w:p>
            <w:pPr>
              <w:spacing w:line="420" w:lineRule="exact"/>
              <w:jc w:val="center"/>
              <w:rPr>
                <w:rFonts w:hint="eastAsia" w:ascii="宋体" w:hAnsi="宋体"/>
                <w:szCs w:val="21"/>
              </w:rPr>
            </w:pPr>
            <w:r>
              <w:rPr>
                <w:rFonts w:hint="eastAsia" w:ascii="宋体" w:hAnsi="宋体"/>
                <w:szCs w:val="21"/>
              </w:rPr>
              <w:t>3</w:t>
            </w:r>
          </w:p>
        </w:tc>
        <w:tc>
          <w:tcPr>
            <w:tcW w:w="804"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监理业绩与信誉</w:t>
            </w:r>
          </w:p>
        </w:tc>
        <w:tc>
          <w:tcPr>
            <w:tcW w:w="1775" w:type="dxa"/>
            <w:vAlign w:val="center"/>
          </w:tcPr>
          <w:p>
            <w:pPr>
              <w:spacing w:line="300" w:lineRule="exact"/>
              <w:jc w:val="center"/>
              <w:rPr>
                <w:rFonts w:hint="eastAsia" w:ascii="宋体" w:hAnsi="宋体" w:cs="宋体"/>
                <w:sz w:val="18"/>
                <w:szCs w:val="18"/>
              </w:rPr>
            </w:pPr>
            <w:r>
              <w:rPr>
                <w:rFonts w:hint="eastAsia" w:ascii="宋体" w:hAnsi="宋体" w:cs="宋体"/>
                <w:sz w:val="18"/>
                <w:szCs w:val="18"/>
              </w:rPr>
              <w:t>监理业绩</w:t>
            </w:r>
          </w:p>
        </w:tc>
        <w:tc>
          <w:tcPr>
            <w:tcW w:w="913"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15</w:t>
            </w:r>
          </w:p>
        </w:tc>
        <w:tc>
          <w:tcPr>
            <w:tcW w:w="1044"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10</w:t>
            </w:r>
          </w:p>
        </w:tc>
        <w:tc>
          <w:tcPr>
            <w:tcW w:w="896" w:type="dxa"/>
            <w:vMerge w:val="restart"/>
            <w:vAlign w:val="center"/>
          </w:tcPr>
          <w:p>
            <w:pPr>
              <w:spacing w:line="420" w:lineRule="exact"/>
              <w:jc w:val="center"/>
              <w:rPr>
                <w:rFonts w:hint="eastAsia" w:ascii="宋体" w:hAnsi="宋体" w:cs="宋体"/>
                <w:sz w:val="18"/>
                <w:szCs w:val="18"/>
              </w:rPr>
            </w:pPr>
            <w:r>
              <w:rPr>
                <w:rFonts w:hint="eastAsia" w:ascii="宋体" w:hAnsi="宋体" w:cs="宋体"/>
                <w:sz w:val="18"/>
                <w:szCs w:val="18"/>
              </w:rPr>
              <w:t>10</w:t>
            </w:r>
          </w:p>
        </w:tc>
        <w:tc>
          <w:tcPr>
            <w:tcW w:w="1028"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6</w:t>
            </w:r>
          </w:p>
        </w:tc>
        <w:tc>
          <w:tcPr>
            <w:tcW w:w="2578" w:type="dxa"/>
            <w:vAlign w:val="center"/>
          </w:tcPr>
          <w:p>
            <w:pPr>
              <w:spacing w:line="260" w:lineRule="exact"/>
              <w:jc w:val="left"/>
              <w:rPr>
                <w:rFonts w:hint="eastAsia" w:ascii="宋体" w:hAnsi="宋体" w:cs="宋体"/>
                <w:sz w:val="16"/>
                <w:szCs w:val="16"/>
              </w:rPr>
            </w:pPr>
            <w:r>
              <w:rPr>
                <w:rFonts w:hint="eastAsia" w:ascii="宋体" w:hAnsi="宋体" w:cs="宋体"/>
                <w:sz w:val="16"/>
                <w:szCs w:val="16"/>
              </w:rPr>
              <w:t>监理业绩达到资格审查强制性条件最低要求，得基本分6分。近5年完成公路工程施工监理每多1个合同或每多10公里加1分，最多加4分。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4" w:hRule="atLeast"/>
        </w:trPr>
        <w:tc>
          <w:tcPr>
            <w:tcW w:w="646" w:type="dxa"/>
            <w:vMerge w:val="continue"/>
            <w:vAlign w:val="center"/>
          </w:tcPr>
          <w:p>
            <w:pPr>
              <w:spacing w:line="420" w:lineRule="exact"/>
              <w:jc w:val="center"/>
              <w:rPr>
                <w:rFonts w:hint="eastAsia" w:ascii="宋体" w:hAnsi="宋体"/>
                <w:szCs w:val="21"/>
              </w:rPr>
            </w:pPr>
          </w:p>
        </w:tc>
        <w:tc>
          <w:tcPr>
            <w:tcW w:w="804" w:type="dxa"/>
            <w:vMerge w:val="continue"/>
            <w:vAlign w:val="center"/>
          </w:tcPr>
          <w:p>
            <w:pPr>
              <w:spacing w:line="420" w:lineRule="exact"/>
              <w:jc w:val="center"/>
              <w:rPr>
                <w:rFonts w:hint="eastAsia" w:ascii="宋体" w:hAnsi="宋体" w:cs="宋体"/>
                <w:sz w:val="18"/>
                <w:szCs w:val="18"/>
              </w:rPr>
            </w:pPr>
          </w:p>
        </w:tc>
        <w:tc>
          <w:tcPr>
            <w:tcW w:w="1775" w:type="dxa"/>
            <w:vAlign w:val="center"/>
          </w:tcPr>
          <w:p>
            <w:pPr>
              <w:spacing w:line="300" w:lineRule="exact"/>
              <w:jc w:val="center"/>
              <w:rPr>
                <w:rFonts w:hint="eastAsia" w:ascii="宋体" w:hAnsi="宋体" w:cs="宋体"/>
                <w:sz w:val="18"/>
                <w:szCs w:val="18"/>
              </w:rPr>
            </w:pPr>
            <w:r>
              <w:rPr>
                <w:rFonts w:hint="eastAsia" w:ascii="宋体" w:hAnsi="宋体" w:cs="宋体"/>
                <w:sz w:val="18"/>
                <w:szCs w:val="18"/>
              </w:rPr>
              <w:t>信誉</w:t>
            </w:r>
          </w:p>
        </w:tc>
        <w:tc>
          <w:tcPr>
            <w:tcW w:w="913" w:type="dxa"/>
            <w:vMerge w:val="continue"/>
            <w:vAlign w:val="center"/>
          </w:tcPr>
          <w:p>
            <w:pPr>
              <w:spacing w:line="420" w:lineRule="exact"/>
              <w:jc w:val="center"/>
              <w:rPr>
                <w:rFonts w:hint="eastAsia" w:ascii="宋体" w:hAnsi="宋体" w:cs="宋体"/>
                <w:sz w:val="18"/>
                <w:szCs w:val="18"/>
              </w:rPr>
            </w:pPr>
          </w:p>
        </w:tc>
        <w:tc>
          <w:tcPr>
            <w:tcW w:w="1044"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5</w:t>
            </w:r>
          </w:p>
        </w:tc>
        <w:tc>
          <w:tcPr>
            <w:tcW w:w="896" w:type="dxa"/>
            <w:vMerge w:val="continue"/>
            <w:vAlign w:val="center"/>
          </w:tcPr>
          <w:p>
            <w:pPr>
              <w:spacing w:line="420" w:lineRule="exact"/>
              <w:jc w:val="center"/>
              <w:rPr>
                <w:rFonts w:hint="eastAsia" w:ascii="宋体" w:hAnsi="宋体" w:cs="宋体"/>
                <w:sz w:val="18"/>
                <w:szCs w:val="18"/>
              </w:rPr>
            </w:pPr>
          </w:p>
        </w:tc>
        <w:tc>
          <w:tcPr>
            <w:tcW w:w="1028" w:type="dxa"/>
            <w:vAlign w:val="center"/>
          </w:tcPr>
          <w:p>
            <w:pPr>
              <w:spacing w:line="420" w:lineRule="exact"/>
              <w:jc w:val="center"/>
              <w:rPr>
                <w:rFonts w:hint="eastAsia" w:ascii="宋体" w:hAnsi="宋体" w:cs="宋体"/>
                <w:sz w:val="18"/>
                <w:szCs w:val="18"/>
              </w:rPr>
            </w:pPr>
            <w:r>
              <w:rPr>
                <w:rFonts w:hint="eastAsia" w:ascii="宋体" w:hAnsi="宋体" w:cs="宋体"/>
                <w:sz w:val="18"/>
                <w:szCs w:val="18"/>
              </w:rPr>
              <w:t>4</w:t>
            </w:r>
          </w:p>
        </w:tc>
        <w:tc>
          <w:tcPr>
            <w:tcW w:w="2578" w:type="dxa"/>
            <w:vAlign w:val="center"/>
          </w:tcPr>
          <w:p>
            <w:pPr>
              <w:spacing w:line="260" w:lineRule="exact"/>
              <w:jc w:val="left"/>
              <w:rPr>
                <w:rFonts w:hint="eastAsia" w:ascii="宋体" w:hAnsi="宋体" w:cs="宋体"/>
                <w:sz w:val="16"/>
                <w:szCs w:val="16"/>
              </w:rPr>
            </w:pPr>
            <w:r>
              <w:rPr>
                <w:rFonts w:hint="eastAsia" w:ascii="宋体" w:hAnsi="宋体" w:cs="宋体"/>
                <w:sz w:val="16"/>
                <w:szCs w:val="16"/>
              </w:rPr>
              <w:t>近5年投标人承监的已完类似工程有一个被评为鲁班奖或詹天佑奖的加2分，最多加2分，否则不加分。</w:t>
            </w:r>
          </w:p>
          <w:p>
            <w:pPr>
              <w:spacing w:line="260" w:lineRule="exact"/>
              <w:jc w:val="left"/>
              <w:rPr>
                <w:rFonts w:hint="eastAsia" w:ascii="宋体" w:hAnsi="宋体" w:cs="宋体"/>
                <w:sz w:val="16"/>
                <w:szCs w:val="16"/>
              </w:rPr>
            </w:pPr>
            <w:r>
              <w:rPr>
                <w:rFonts w:hint="eastAsia" w:ascii="宋体" w:hAnsi="宋体" w:cs="宋体"/>
                <w:sz w:val="16"/>
                <w:szCs w:val="16"/>
              </w:rPr>
              <w:t>近5年投标人承监的已完类似工程有获得市级以上授予的先进监理单位或重点工程建设先进监理单位的，一次加0.25分，最多加1分，否则不加分。</w:t>
            </w:r>
          </w:p>
          <w:p>
            <w:pPr>
              <w:spacing w:line="260" w:lineRule="exact"/>
              <w:jc w:val="left"/>
              <w:rPr>
                <w:rFonts w:hint="eastAsia" w:ascii="宋体" w:hAnsi="宋体" w:cs="宋体"/>
                <w:sz w:val="16"/>
                <w:szCs w:val="16"/>
              </w:rPr>
            </w:pPr>
            <w:r>
              <w:rPr>
                <w:rFonts w:hint="eastAsia" w:ascii="宋体" w:hAnsi="宋体" w:cs="宋体"/>
                <w:sz w:val="16"/>
                <w:szCs w:val="16"/>
              </w:rPr>
              <w:t>在201</w:t>
            </w:r>
            <w:r>
              <w:rPr>
                <w:rFonts w:hint="eastAsia" w:ascii="宋体" w:hAnsi="宋体" w:cs="宋体"/>
                <w:sz w:val="16"/>
                <w:szCs w:val="16"/>
                <w:lang w:val="en-US" w:eastAsia="zh-CN"/>
              </w:rPr>
              <w:t>7</w:t>
            </w:r>
            <w:r>
              <w:rPr>
                <w:rFonts w:hint="eastAsia" w:ascii="宋体" w:hAnsi="宋体" w:cs="宋体"/>
                <w:sz w:val="16"/>
                <w:szCs w:val="16"/>
              </w:rPr>
              <w:t>年度全国或201</w:t>
            </w:r>
            <w:r>
              <w:rPr>
                <w:rFonts w:hint="eastAsia" w:ascii="宋体" w:hAnsi="宋体" w:cs="宋体"/>
                <w:sz w:val="16"/>
                <w:szCs w:val="16"/>
                <w:lang w:val="en-US" w:eastAsia="zh-CN"/>
              </w:rPr>
              <w:t>7</w:t>
            </w:r>
            <w:r>
              <w:rPr>
                <w:rFonts w:hint="eastAsia" w:ascii="宋体" w:hAnsi="宋体" w:cs="宋体"/>
                <w:sz w:val="16"/>
                <w:szCs w:val="16"/>
              </w:rPr>
              <w:t>年度新疆兵团公路工程监理企业信用评价结果为AA的加2分，评价结果为A的加1分；如信用评价登记结果不一致时，以获得的最高信用评价等级为准。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5" w:type="dxa"/>
            <w:gridSpan w:val="3"/>
            <w:vAlign w:val="center"/>
          </w:tcPr>
          <w:p>
            <w:pPr>
              <w:spacing w:line="420" w:lineRule="exact"/>
              <w:jc w:val="center"/>
              <w:rPr>
                <w:rFonts w:hint="eastAsia" w:ascii="宋体" w:hAnsi="宋体" w:cs="宋体"/>
                <w:sz w:val="18"/>
                <w:szCs w:val="18"/>
              </w:rPr>
            </w:pPr>
            <w:r>
              <w:rPr>
                <w:rFonts w:hint="eastAsia" w:ascii="宋体" w:hAnsi="宋体" w:cs="宋体"/>
                <w:sz w:val="18"/>
                <w:szCs w:val="18"/>
              </w:rPr>
              <w:t>合计</w:t>
            </w:r>
          </w:p>
        </w:tc>
        <w:tc>
          <w:tcPr>
            <w:tcW w:w="1957" w:type="dxa"/>
            <w:gridSpan w:val="2"/>
            <w:vAlign w:val="center"/>
          </w:tcPr>
          <w:p>
            <w:pPr>
              <w:spacing w:line="420" w:lineRule="exact"/>
              <w:jc w:val="center"/>
              <w:rPr>
                <w:rFonts w:hint="eastAsia" w:ascii="宋体" w:hAnsi="宋体" w:cs="宋体"/>
                <w:sz w:val="18"/>
                <w:szCs w:val="18"/>
              </w:rPr>
            </w:pPr>
            <w:r>
              <w:rPr>
                <w:rFonts w:hint="eastAsia" w:ascii="宋体" w:hAnsi="宋体" w:cs="宋体"/>
                <w:sz w:val="18"/>
                <w:szCs w:val="18"/>
              </w:rPr>
              <w:t>42</w:t>
            </w:r>
          </w:p>
        </w:tc>
        <w:tc>
          <w:tcPr>
            <w:tcW w:w="1924" w:type="dxa"/>
            <w:gridSpan w:val="2"/>
            <w:vAlign w:val="center"/>
          </w:tcPr>
          <w:p>
            <w:pPr>
              <w:spacing w:line="420" w:lineRule="exact"/>
              <w:jc w:val="center"/>
              <w:rPr>
                <w:rFonts w:hint="eastAsia" w:ascii="宋体" w:hAnsi="宋体" w:cs="宋体"/>
                <w:sz w:val="18"/>
                <w:szCs w:val="18"/>
              </w:rPr>
            </w:pPr>
            <w:r>
              <w:rPr>
                <w:rFonts w:hint="eastAsia" w:ascii="宋体" w:hAnsi="宋体" w:cs="宋体"/>
                <w:sz w:val="18"/>
                <w:szCs w:val="18"/>
              </w:rPr>
              <w:t>26.2</w:t>
            </w:r>
          </w:p>
        </w:tc>
        <w:tc>
          <w:tcPr>
            <w:tcW w:w="2578" w:type="dxa"/>
            <w:vAlign w:val="center"/>
          </w:tcPr>
          <w:p>
            <w:pPr>
              <w:spacing w:line="420" w:lineRule="exact"/>
              <w:jc w:val="center"/>
              <w:rPr>
                <w:rFonts w:hint="eastAsia" w:ascii="宋体" w:hAnsi="宋体" w:cs="宋体"/>
                <w:sz w:val="18"/>
                <w:szCs w:val="18"/>
              </w:rPr>
            </w:pPr>
          </w:p>
        </w:tc>
      </w:tr>
    </w:tbl>
    <w:p>
      <w:pPr>
        <w:spacing w:line="420" w:lineRule="exact"/>
        <w:jc w:val="center"/>
        <w:rPr>
          <w:rFonts w:hint="eastAsia" w:ascii="宋体" w:hAnsi="宋体"/>
          <w:b/>
          <w:bCs/>
          <w:sz w:val="32"/>
          <w:szCs w:val="32"/>
        </w:rPr>
      </w:pPr>
    </w:p>
    <w:p>
      <w:pPr>
        <w:pStyle w:val="2"/>
        <w:spacing w:before="120" w:after="120" w:line="440" w:lineRule="exact"/>
        <w:jc w:val="left"/>
        <w:rPr>
          <w:rFonts w:hint="eastAsia" w:ascii="宋体" w:hAnsi="宋体"/>
          <w:kern w:val="0"/>
          <w:sz w:val="24"/>
          <w:szCs w:val="24"/>
        </w:rPr>
      </w:pPr>
      <w:r>
        <w:rPr>
          <w:rFonts w:hint="eastAsia" w:ascii="宋体" w:hAnsi="宋体"/>
          <w:kern w:val="0"/>
          <w:sz w:val="24"/>
          <w:szCs w:val="24"/>
        </w:rPr>
        <w:t>6</w:t>
      </w:r>
      <w:r>
        <w:rPr>
          <w:rFonts w:ascii="宋体" w:hAnsi="宋体"/>
          <w:kern w:val="0"/>
          <w:sz w:val="24"/>
          <w:szCs w:val="24"/>
        </w:rPr>
        <w:t>.</w:t>
      </w:r>
      <w:r>
        <w:rPr>
          <w:rFonts w:hint="eastAsia" w:ascii="宋体" w:hAnsi="宋体"/>
          <w:kern w:val="0"/>
          <w:sz w:val="24"/>
          <w:szCs w:val="24"/>
        </w:rPr>
        <w:t>3</w:t>
      </w:r>
      <w:r>
        <w:rPr>
          <w:rFonts w:ascii="宋体" w:hAnsi="宋体"/>
          <w:kern w:val="0"/>
          <w:sz w:val="24"/>
          <w:szCs w:val="24"/>
        </w:rPr>
        <w:t xml:space="preserve">  </w:t>
      </w:r>
      <w:r>
        <w:rPr>
          <w:rFonts w:hint="eastAsia" w:ascii="宋体" w:hAnsi="宋体"/>
          <w:kern w:val="0"/>
          <w:sz w:val="24"/>
          <w:szCs w:val="24"/>
        </w:rPr>
        <w:t>财务</w:t>
      </w:r>
      <w:r>
        <w:rPr>
          <w:rFonts w:ascii="宋体" w:hAnsi="宋体"/>
          <w:kern w:val="0"/>
          <w:sz w:val="24"/>
          <w:szCs w:val="24"/>
        </w:rPr>
        <w:t>评审</w:t>
      </w:r>
      <w:r>
        <w:rPr>
          <w:rFonts w:hint="eastAsia" w:ascii="宋体" w:hAnsi="宋体"/>
          <w:kern w:val="0"/>
          <w:sz w:val="24"/>
          <w:szCs w:val="24"/>
        </w:rPr>
        <w:t xml:space="preserve">                </w:t>
      </w:r>
    </w:p>
    <w:p>
      <w:pPr>
        <w:spacing w:line="420" w:lineRule="exact"/>
        <w:ind w:firstLine="420" w:firstLineChars="200"/>
        <w:rPr>
          <w:rFonts w:hint="eastAsia" w:ascii="宋体" w:hAnsi="宋体"/>
          <w:szCs w:val="21"/>
        </w:rPr>
      </w:pPr>
      <w:r>
        <w:rPr>
          <w:rFonts w:hint="eastAsia" w:ascii="宋体" w:hAnsi="宋体"/>
          <w:szCs w:val="21"/>
        </w:rPr>
        <w:t>在评标委员会完成对投标人的商务文件和技术建议书的评审后，在交通运输主管部门的监督下，由评标委员会拆封投标人的财务建议书信封，只有通过前述初步评审、资格审查、详细评审的投标人才能进入财务评审。</w:t>
      </w:r>
    </w:p>
    <w:p>
      <w:pPr>
        <w:spacing w:line="440" w:lineRule="exact"/>
        <w:ind w:firstLine="420" w:firstLineChars="200"/>
        <w:rPr>
          <w:rFonts w:hint="eastAsia" w:ascii="宋体" w:hAnsi="宋体"/>
          <w:szCs w:val="21"/>
        </w:rPr>
      </w:pPr>
      <w:r>
        <w:rPr>
          <w:rFonts w:hint="eastAsia" w:ascii="宋体" w:hAnsi="宋体"/>
          <w:szCs w:val="21"/>
        </w:rPr>
        <w:t>6.3.1  投标人通过财务建议书初步评审的主要条件</w:t>
      </w:r>
      <w:r>
        <w:rPr>
          <w:rFonts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（1）财务建议书按招标文件规定签字、盖章齐全，填报了投标价；</w:t>
      </w:r>
    </w:p>
    <w:p>
      <w:pPr>
        <w:spacing w:line="420" w:lineRule="exact"/>
        <w:ind w:firstLine="420" w:firstLineChars="200"/>
        <w:rPr>
          <w:rFonts w:hint="eastAsia" w:ascii="宋体" w:hAnsi="宋体"/>
          <w:szCs w:val="21"/>
        </w:rPr>
      </w:pPr>
      <w:r>
        <w:rPr>
          <w:rFonts w:hint="eastAsia" w:ascii="宋体" w:hAnsi="宋体"/>
          <w:szCs w:val="21"/>
        </w:rPr>
        <w:t>（2）</w:t>
      </w:r>
      <w:r>
        <w:rPr>
          <w:rFonts w:ascii="宋体" w:hAnsi="宋体"/>
          <w:szCs w:val="21"/>
        </w:rPr>
        <w:t>招标人给定投标控制价上、下限</w:t>
      </w:r>
      <w:r>
        <w:rPr>
          <w:rFonts w:hint="eastAsia" w:ascii="宋体" w:hAnsi="宋体"/>
          <w:szCs w:val="21"/>
        </w:rPr>
        <w:t>的，</w:t>
      </w:r>
      <w:r>
        <w:rPr>
          <w:rFonts w:ascii="宋体" w:hAnsi="宋体"/>
          <w:szCs w:val="21"/>
        </w:rPr>
        <w:t>投标人所报的监理服务费在招标人给定的投标控制价上、下限以内</w:t>
      </w:r>
      <w:r>
        <w:rPr>
          <w:rFonts w:hint="eastAsia" w:ascii="宋体" w:hAnsi="宋体"/>
          <w:szCs w:val="21"/>
        </w:rPr>
        <w:t>；</w:t>
      </w:r>
    </w:p>
    <w:p>
      <w:pPr>
        <w:spacing w:line="420" w:lineRule="exact"/>
        <w:ind w:firstLine="420" w:firstLineChars="200"/>
        <w:rPr>
          <w:rFonts w:hint="eastAsia" w:ascii="宋体" w:hAnsi="宋体"/>
          <w:szCs w:val="21"/>
        </w:rPr>
      </w:pPr>
      <w:r>
        <w:rPr>
          <w:rFonts w:ascii="宋体" w:hAnsi="宋体"/>
          <w:szCs w:val="21"/>
        </w:rPr>
        <w:t>投标文件不符合以上条件之一的，属于重大偏差，作为废标处理。</w:t>
      </w:r>
    </w:p>
    <w:p>
      <w:pPr>
        <w:spacing w:line="420" w:lineRule="exact"/>
        <w:ind w:firstLine="420" w:firstLineChars="200"/>
        <w:rPr>
          <w:rFonts w:hint="eastAsia" w:ascii="宋体" w:hAnsi="宋体"/>
          <w:szCs w:val="21"/>
        </w:rPr>
      </w:pPr>
      <w:r>
        <w:rPr>
          <w:rFonts w:hint="eastAsia" w:ascii="宋体" w:hAnsi="宋体"/>
          <w:szCs w:val="21"/>
        </w:rPr>
        <w:t>6.3.2  算术性修正</w:t>
      </w:r>
    </w:p>
    <w:p>
      <w:pPr>
        <w:spacing w:line="420" w:lineRule="exact"/>
        <w:ind w:firstLine="420" w:firstLineChars="200"/>
        <w:rPr>
          <w:rFonts w:hint="eastAsia" w:ascii="宋体" w:hAnsi="宋体"/>
          <w:szCs w:val="21"/>
        </w:rPr>
      </w:pPr>
      <w:r>
        <w:rPr>
          <w:rFonts w:hint="eastAsia" w:ascii="宋体" w:hAnsi="宋体"/>
        </w:rPr>
        <w:t>评标委员会对通过初步评审的投标人的报价</w:t>
      </w:r>
      <w:r>
        <w:rPr>
          <w:rFonts w:ascii="宋体" w:hAnsi="宋体"/>
          <w:szCs w:val="21"/>
        </w:rPr>
        <w:t>按下列原则</w:t>
      </w:r>
      <w:r>
        <w:rPr>
          <w:rFonts w:hint="eastAsia" w:ascii="宋体" w:hAnsi="宋体"/>
        </w:rPr>
        <w:t>进行算术性修正</w:t>
      </w:r>
      <w:r>
        <w:rPr>
          <w:rFonts w:hint="eastAsia" w:ascii="宋体" w:hAnsi="宋体"/>
          <w:szCs w:val="21"/>
        </w:rPr>
        <w:t>：</w:t>
      </w:r>
    </w:p>
    <w:p>
      <w:pPr>
        <w:spacing w:line="420" w:lineRule="exact"/>
        <w:ind w:firstLine="420" w:firstLineChars="200"/>
        <w:rPr>
          <w:rFonts w:hint="eastAsia" w:ascii="宋体" w:hAnsi="宋体"/>
        </w:rPr>
      </w:pPr>
      <w:r>
        <w:rPr>
          <w:rFonts w:hint="eastAsia" w:ascii="宋体" w:hAnsi="宋体"/>
        </w:rPr>
        <w:t>（1）投标文件中的大写金额与小写金额不一致的，以大写金额为准；</w:t>
      </w:r>
    </w:p>
    <w:p>
      <w:pPr>
        <w:spacing w:line="420" w:lineRule="exact"/>
        <w:ind w:firstLine="420" w:firstLineChars="200"/>
        <w:rPr>
          <w:rFonts w:hint="eastAsia" w:ascii="宋体" w:hAnsi="宋体"/>
        </w:rPr>
      </w:pPr>
      <w:r>
        <w:rPr>
          <w:rFonts w:hint="eastAsia" w:ascii="宋体" w:hAnsi="宋体"/>
        </w:rPr>
        <w:t>（2）当监理服务费计费额、监理服务费基价、监理服务费基准价计算错误时，按正确的数额或系数修正，当监理服务费计算错误时，按填报的浮动幅度值修正；</w:t>
      </w:r>
    </w:p>
    <w:p>
      <w:pPr>
        <w:spacing w:line="420" w:lineRule="exact"/>
        <w:ind w:firstLine="420" w:firstLineChars="200"/>
        <w:rPr>
          <w:rFonts w:hint="eastAsia" w:ascii="宋体" w:hAnsi="宋体"/>
        </w:rPr>
      </w:pPr>
      <w:r>
        <w:rPr>
          <w:rFonts w:hint="eastAsia" w:ascii="宋体" w:hAnsi="宋体"/>
        </w:rPr>
        <w:t>（3）总价金额与依据单价计算出的结果不一致的，以单价金额为准修正总价，但单价金额小数点有明显错误的除外。</w:t>
      </w:r>
    </w:p>
    <w:p>
      <w:pPr>
        <w:spacing w:line="420" w:lineRule="exact"/>
        <w:ind w:firstLine="420" w:firstLineChars="200"/>
        <w:rPr>
          <w:rFonts w:hint="eastAsia" w:ascii="宋体" w:hAnsi="宋体"/>
        </w:rPr>
      </w:pPr>
      <w:r>
        <w:rPr>
          <w:rFonts w:hint="eastAsia" w:ascii="宋体" w:hAnsi="宋体"/>
        </w:rPr>
        <w:t>修正的价格经投标人书面确认后具有约束力。投标人修正后总价超出招标人给定的投标控制价上、下限或不接受修正价格的，其投标作废标处理。</w:t>
      </w:r>
    </w:p>
    <w:p>
      <w:pPr>
        <w:spacing w:line="420" w:lineRule="exact"/>
        <w:ind w:firstLine="420" w:firstLineChars="200"/>
        <w:rPr>
          <w:rFonts w:hint="eastAsia" w:ascii="宋体" w:hAnsi="宋体"/>
          <w:szCs w:val="21"/>
        </w:rPr>
      </w:pPr>
      <w:r>
        <w:rPr>
          <w:rFonts w:hint="eastAsia" w:ascii="宋体" w:hAnsi="宋体"/>
          <w:szCs w:val="21"/>
        </w:rPr>
        <w:t>6</w:t>
      </w: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 xml:space="preserve">3  </w:t>
      </w:r>
      <w:r>
        <w:rPr>
          <w:rFonts w:ascii="宋体" w:hAnsi="宋体"/>
          <w:szCs w:val="21"/>
        </w:rPr>
        <w:t>计算评标基准价</w:t>
      </w:r>
    </w:p>
    <w:p>
      <w:pPr>
        <w:spacing w:line="420" w:lineRule="exact"/>
        <w:ind w:firstLine="420" w:firstLineChars="200"/>
        <w:rPr>
          <w:rFonts w:hint="eastAsia" w:ascii="宋体" w:hAnsi="宋体"/>
          <w:szCs w:val="21"/>
        </w:rPr>
      </w:pPr>
      <w:r>
        <w:rPr>
          <w:rFonts w:hint="eastAsia" w:ascii="宋体" w:hAnsi="宋体"/>
          <w:szCs w:val="21"/>
        </w:rPr>
        <w:t>通过财务评审的报价为有效报价。评标基准价等于所有有效报价的</w:t>
      </w:r>
      <w:r>
        <w:rPr>
          <w:rFonts w:ascii="宋体" w:hAnsi="宋体"/>
          <w:szCs w:val="21"/>
        </w:rPr>
        <w:t>算术平均值。</w:t>
      </w:r>
    </w:p>
    <w:p>
      <w:pPr>
        <w:spacing w:line="420" w:lineRule="exact"/>
        <w:ind w:firstLine="420" w:firstLineChars="200"/>
        <w:rPr>
          <w:rFonts w:hint="eastAsia" w:ascii="宋体" w:hAnsi="宋体"/>
          <w:szCs w:val="21"/>
        </w:rPr>
      </w:pPr>
      <w:r>
        <w:rPr>
          <w:rFonts w:hint="eastAsia" w:ascii="宋体" w:hAnsi="宋体"/>
          <w:szCs w:val="21"/>
        </w:rPr>
        <w:t>6</w:t>
      </w: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 xml:space="preserve">4  </w:t>
      </w:r>
      <w:r>
        <w:rPr>
          <w:rFonts w:ascii="宋体" w:hAnsi="宋体"/>
          <w:szCs w:val="21"/>
        </w:rPr>
        <w:t>计算</w:t>
      </w:r>
      <w:r>
        <w:rPr>
          <w:rFonts w:hint="eastAsia" w:ascii="宋体" w:hAnsi="宋体"/>
          <w:szCs w:val="21"/>
        </w:rPr>
        <w:t>财务</w:t>
      </w:r>
      <w:r>
        <w:rPr>
          <w:rFonts w:ascii="宋体" w:hAnsi="宋体"/>
          <w:szCs w:val="21"/>
        </w:rPr>
        <w:t>得分</w:t>
      </w:r>
    </w:p>
    <w:p>
      <w:pPr>
        <w:spacing w:line="420" w:lineRule="exact"/>
        <w:ind w:firstLine="420" w:firstLineChars="200"/>
        <w:rPr>
          <w:rFonts w:hint="eastAsia" w:ascii="宋体" w:hAnsi="宋体"/>
          <w:szCs w:val="21"/>
        </w:rPr>
      </w:pPr>
      <w:r>
        <w:rPr>
          <w:rFonts w:ascii="宋体" w:hAnsi="宋体"/>
          <w:szCs w:val="21"/>
        </w:rPr>
        <w:t>当投标人报价等于评标基准价时得满分，每高于</w:t>
      </w:r>
      <w:r>
        <w:rPr>
          <w:rFonts w:hint="eastAsia" w:ascii="宋体" w:hAnsi="宋体"/>
          <w:szCs w:val="21"/>
        </w:rPr>
        <w:t>评标基准价</w:t>
      </w:r>
      <w:r>
        <w:rPr>
          <w:rFonts w:ascii="宋体" w:hAnsi="宋体"/>
          <w:szCs w:val="21"/>
        </w:rPr>
        <w:t>一个百分点扣</w:t>
      </w:r>
      <w:r>
        <w:rPr>
          <w:rFonts w:hint="eastAsia" w:ascii="宋体" w:hAnsi="宋体"/>
          <w:szCs w:val="21"/>
        </w:rPr>
        <w:t>0.3</w:t>
      </w:r>
      <w:r>
        <w:rPr>
          <w:rFonts w:ascii="宋体" w:hAnsi="宋体"/>
          <w:szCs w:val="21"/>
        </w:rPr>
        <w:t>分，每低于</w:t>
      </w:r>
      <w:r>
        <w:rPr>
          <w:rFonts w:hint="eastAsia" w:ascii="宋体" w:hAnsi="宋体"/>
          <w:szCs w:val="21"/>
        </w:rPr>
        <w:t>评标基准价</w:t>
      </w:r>
      <w:r>
        <w:rPr>
          <w:rFonts w:ascii="宋体" w:hAnsi="宋体"/>
          <w:szCs w:val="21"/>
        </w:rPr>
        <w:t>一个百分点扣</w:t>
      </w:r>
      <w:r>
        <w:rPr>
          <w:rFonts w:hint="eastAsia" w:ascii="宋体" w:hAnsi="宋体"/>
          <w:szCs w:val="21"/>
        </w:rPr>
        <w:t>0.5</w:t>
      </w:r>
      <w:r>
        <w:rPr>
          <w:rFonts w:ascii="宋体" w:hAnsi="宋体"/>
          <w:szCs w:val="21"/>
        </w:rPr>
        <w:t>分，中间值按比例内插，四舍五入，保留两位小数。</w:t>
      </w:r>
    </w:p>
    <w:p>
      <w:pPr>
        <w:spacing w:line="420" w:lineRule="exact"/>
        <w:ind w:firstLine="420" w:firstLineChars="200"/>
        <w:rPr>
          <w:rFonts w:ascii="宋体" w:hAnsi="宋体"/>
          <w:szCs w:val="21"/>
        </w:rPr>
      </w:pPr>
      <w:r>
        <w:rPr>
          <w:rFonts w:ascii="宋体" w:hAnsi="宋体"/>
          <w:szCs w:val="21"/>
        </w:rPr>
        <w:t>用公式表示如下：</w:t>
      </w:r>
    </w:p>
    <w:p>
      <w:pPr>
        <w:spacing w:line="360" w:lineRule="auto"/>
        <w:ind w:firstLine="2035" w:firstLineChars="1028"/>
        <w:rPr>
          <w:rFonts w:ascii="宋体" w:hAnsi="宋体"/>
          <w:spacing w:val="-6"/>
          <w:szCs w:val="21"/>
        </w:rPr>
      </w:pPr>
      <w:r>
        <w:rPr>
          <w:rFonts w:ascii="宋体" w:hAnsi="宋体"/>
          <w:spacing w:val="-6"/>
          <w:szCs w:val="21"/>
        </w:rPr>
        <w:drawing>
          <wp:inline distT="0" distB="0" distL="114300" distR="114300">
            <wp:extent cx="1765300" cy="405765"/>
            <wp:effectExtent l="0" t="0" r="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765300" cy="405765"/>
                    </a:xfrm>
                    <a:prstGeom prst="rect">
                      <a:avLst/>
                    </a:prstGeom>
                    <a:noFill/>
                    <a:ln w="9525">
                      <a:noFill/>
                    </a:ln>
                  </pic:spPr>
                </pic:pic>
              </a:graphicData>
            </a:graphic>
          </wp:inline>
        </w:drawing>
      </w:r>
    </w:p>
    <w:p>
      <w:pPr>
        <w:spacing w:line="420" w:lineRule="exact"/>
        <w:ind w:firstLine="420" w:firstLineChars="200"/>
        <w:rPr>
          <w:rFonts w:hint="eastAsia" w:ascii="宋体" w:hAnsi="宋体"/>
          <w:szCs w:val="21"/>
        </w:rPr>
      </w:pPr>
      <w:r>
        <w:rPr>
          <w:rFonts w:ascii="宋体" w:hAnsi="宋体"/>
          <w:szCs w:val="21"/>
        </w:rPr>
        <w:t>式中：</w:t>
      </w:r>
      <w:r>
        <w:rPr>
          <w:rFonts w:ascii="宋体" w:hAnsi="宋体"/>
          <w:i/>
          <w:szCs w:val="21"/>
        </w:rPr>
        <w:t>F</w:t>
      </w:r>
      <w:r>
        <w:rPr>
          <w:rFonts w:ascii="宋体" w:hAnsi="宋体"/>
          <w:szCs w:val="21"/>
          <w:vertAlign w:val="subscript"/>
        </w:rPr>
        <w:t>1</w:t>
      </w:r>
      <w:r>
        <w:rPr>
          <w:rFonts w:hint="eastAsia" w:ascii="宋体" w:hAnsi="宋体"/>
          <w:szCs w:val="21"/>
        </w:rPr>
        <w:t>——</w:t>
      </w:r>
      <w:r>
        <w:rPr>
          <w:rFonts w:ascii="宋体" w:hAnsi="宋体"/>
          <w:szCs w:val="21"/>
        </w:rPr>
        <w:t>投标人</w:t>
      </w:r>
      <w:r>
        <w:rPr>
          <w:rFonts w:hint="eastAsia" w:ascii="宋体" w:hAnsi="宋体"/>
          <w:szCs w:val="21"/>
        </w:rPr>
        <w:t>财务</w:t>
      </w:r>
      <w:r>
        <w:rPr>
          <w:rFonts w:ascii="宋体" w:hAnsi="宋体"/>
          <w:szCs w:val="21"/>
        </w:rPr>
        <w:t>得分；</w:t>
      </w:r>
    </w:p>
    <w:p>
      <w:pPr>
        <w:spacing w:line="420" w:lineRule="exact"/>
        <w:ind w:firstLine="1050"/>
        <w:rPr>
          <w:rFonts w:hint="eastAsia" w:ascii="宋体" w:hAnsi="宋体"/>
          <w:szCs w:val="21"/>
        </w:rPr>
      </w:pPr>
      <w:r>
        <w:rPr>
          <w:rFonts w:ascii="宋体" w:hAnsi="宋体"/>
          <w:i/>
          <w:szCs w:val="21"/>
        </w:rPr>
        <w:t>F</w:t>
      </w:r>
      <w:r>
        <w:rPr>
          <w:rFonts w:hint="eastAsia" w:ascii="宋体" w:hAnsi="宋体"/>
          <w:szCs w:val="21"/>
        </w:rPr>
        <w:t>——财务得分</w:t>
      </w:r>
      <w:r>
        <w:rPr>
          <w:rFonts w:ascii="宋体" w:hAnsi="宋体"/>
          <w:szCs w:val="21"/>
        </w:rPr>
        <w:t>所占的百分比权重，</w:t>
      </w:r>
      <w:r>
        <w:rPr>
          <w:rFonts w:ascii="宋体" w:hAnsi="宋体"/>
          <w:i/>
          <w:szCs w:val="21"/>
        </w:rPr>
        <w:t>F</w:t>
      </w:r>
      <w:r>
        <w:rPr>
          <w:rFonts w:hint="eastAsia" w:ascii="宋体" w:hAnsi="宋体"/>
          <w:i/>
          <w:szCs w:val="21"/>
        </w:rPr>
        <w:t xml:space="preserve"> </w:t>
      </w:r>
      <w:r>
        <w:rPr>
          <w:rFonts w:hint="eastAsia" w:ascii="宋体" w:hAnsi="宋体"/>
          <w:szCs w:val="21"/>
        </w:rPr>
        <w:t xml:space="preserve">= </w:t>
      </w:r>
      <w:r>
        <w:rPr>
          <w:rFonts w:ascii="宋体" w:hAnsi="宋体"/>
          <w:szCs w:val="21"/>
        </w:rPr>
        <w:t>10</w:t>
      </w:r>
      <w:r>
        <w:rPr>
          <w:rFonts w:hint="eastAsia" w:ascii="宋体" w:hAnsi="宋体"/>
          <w:szCs w:val="21"/>
        </w:rPr>
        <w:t>；</w:t>
      </w:r>
    </w:p>
    <w:p>
      <w:pPr>
        <w:spacing w:line="420" w:lineRule="exact"/>
        <w:ind w:firstLine="945"/>
        <w:rPr>
          <w:rFonts w:hint="eastAsia" w:ascii="宋体" w:hAnsi="宋体"/>
          <w:szCs w:val="21"/>
        </w:rPr>
      </w:pPr>
      <w:r>
        <w:rPr>
          <w:rFonts w:ascii="宋体" w:hAnsi="宋体"/>
          <w:i/>
          <w:szCs w:val="21"/>
        </w:rPr>
        <w:t>D</w:t>
      </w:r>
      <w:r>
        <w:rPr>
          <w:rFonts w:ascii="宋体" w:hAnsi="宋体"/>
          <w:szCs w:val="21"/>
          <w:vertAlign w:val="subscript"/>
        </w:rPr>
        <w:t>1</w:t>
      </w:r>
      <w:r>
        <w:rPr>
          <w:rFonts w:hint="eastAsia" w:ascii="宋体" w:hAnsi="宋体"/>
          <w:szCs w:val="21"/>
        </w:rPr>
        <w:t>——</w:t>
      </w:r>
      <w:r>
        <w:rPr>
          <w:rFonts w:ascii="宋体" w:hAnsi="宋体"/>
          <w:szCs w:val="21"/>
        </w:rPr>
        <w:t>投标人的</w:t>
      </w:r>
      <w:r>
        <w:rPr>
          <w:rFonts w:hint="eastAsia" w:ascii="宋体" w:hAnsi="宋体"/>
          <w:szCs w:val="21"/>
        </w:rPr>
        <w:t>投标报</w:t>
      </w:r>
      <w:r>
        <w:rPr>
          <w:rFonts w:ascii="宋体" w:hAnsi="宋体"/>
          <w:szCs w:val="21"/>
        </w:rPr>
        <w:t>价；</w:t>
      </w:r>
    </w:p>
    <w:p>
      <w:pPr>
        <w:spacing w:line="420" w:lineRule="exact"/>
        <w:ind w:firstLine="1008"/>
        <w:rPr>
          <w:rFonts w:hint="eastAsia" w:ascii="宋体" w:hAnsi="宋体"/>
          <w:szCs w:val="21"/>
        </w:rPr>
      </w:pPr>
      <w:r>
        <w:rPr>
          <w:rFonts w:ascii="宋体" w:hAnsi="宋体"/>
          <w:i/>
          <w:szCs w:val="21"/>
        </w:rPr>
        <w:t>D</w:t>
      </w:r>
      <w:r>
        <w:rPr>
          <w:rFonts w:hint="eastAsia" w:ascii="宋体" w:hAnsi="宋体"/>
          <w:szCs w:val="21"/>
        </w:rPr>
        <w:t>——</w:t>
      </w:r>
      <w:r>
        <w:rPr>
          <w:rFonts w:ascii="宋体" w:hAnsi="宋体"/>
          <w:szCs w:val="21"/>
        </w:rPr>
        <w:t>评标基准价。</w:t>
      </w:r>
    </w:p>
    <w:p>
      <w:pPr>
        <w:spacing w:line="420" w:lineRule="exact"/>
        <w:ind w:firstLine="976" w:firstLineChars="465"/>
        <w:rPr>
          <w:rFonts w:ascii="宋体" w:hAnsi="宋体"/>
          <w:spacing w:val="-6"/>
          <w:szCs w:val="21"/>
        </w:rPr>
      </w:pPr>
      <w:r>
        <w:rPr>
          <w:rFonts w:ascii="宋体" w:hAnsi="宋体"/>
          <w:szCs w:val="21"/>
        </w:rPr>
        <w:t>若</w:t>
      </w:r>
      <w:r>
        <w:rPr>
          <w:rFonts w:ascii="宋体" w:hAnsi="宋体"/>
          <w:i/>
          <w:szCs w:val="21"/>
        </w:rPr>
        <w:t>D</w:t>
      </w:r>
      <w:r>
        <w:rPr>
          <w:rFonts w:ascii="宋体" w:hAnsi="宋体"/>
          <w:szCs w:val="21"/>
          <w:vertAlign w:val="subscript"/>
        </w:rPr>
        <w:t>1</w:t>
      </w:r>
      <w:r>
        <w:rPr>
          <w:rFonts w:hint="eastAsia" w:ascii="宋体" w:hAnsi="宋体"/>
          <w:szCs w:val="21"/>
        </w:rPr>
        <w:t>≥</w:t>
      </w:r>
      <w:r>
        <w:rPr>
          <w:rFonts w:ascii="宋体" w:hAnsi="宋体"/>
          <w:i/>
          <w:szCs w:val="21"/>
        </w:rPr>
        <w:t>D</w:t>
      </w:r>
      <w:r>
        <w:rPr>
          <w:rFonts w:ascii="宋体" w:hAnsi="宋体"/>
          <w:szCs w:val="21"/>
        </w:rPr>
        <w:t>，则</w:t>
      </w:r>
      <w:r>
        <w:rPr>
          <w:rFonts w:ascii="宋体" w:hAnsi="宋体"/>
          <w:i/>
          <w:szCs w:val="21"/>
        </w:rPr>
        <w:t>E</w:t>
      </w:r>
      <w:r>
        <w:rPr>
          <w:rFonts w:hint="eastAsia" w:ascii="宋体" w:hAnsi="宋体"/>
          <w:szCs w:val="21"/>
        </w:rPr>
        <w:t xml:space="preserve"> </w:t>
      </w:r>
      <w:r>
        <w:rPr>
          <w:rFonts w:ascii="宋体" w:hAnsi="宋体"/>
          <w:szCs w:val="21"/>
        </w:rPr>
        <w:t>=</w:t>
      </w:r>
      <w:r>
        <w:rPr>
          <w:rFonts w:hint="eastAsia" w:ascii="宋体" w:hAnsi="宋体"/>
          <w:szCs w:val="21"/>
        </w:rPr>
        <w:t xml:space="preserve"> 0.3</w:t>
      </w:r>
      <w:r>
        <w:rPr>
          <w:rFonts w:ascii="宋体" w:hAnsi="宋体"/>
          <w:szCs w:val="21"/>
        </w:rPr>
        <w:t>；若</w:t>
      </w:r>
      <w:r>
        <w:rPr>
          <w:rFonts w:ascii="宋体" w:hAnsi="宋体"/>
          <w:i/>
          <w:szCs w:val="21"/>
        </w:rPr>
        <w:t>D</w:t>
      </w:r>
      <w:r>
        <w:rPr>
          <w:rFonts w:ascii="宋体" w:hAnsi="宋体"/>
          <w:szCs w:val="21"/>
          <w:vertAlign w:val="subscript"/>
        </w:rPr>
        <w:t>1</w:t>
      </w:r>
      <w:r>
        <w:rPr>
          <w:rFonts w:hint="eastAsia" w:ascii="宋体" w:hAnsi="宋体"/>
          <w:szCs w:val="21"/>
          <w:vertAlign w:val="subscript"/>
        </w:rPr>
        <w:t xml:space="preserve"> </w:t>
      </w:r>
      <w:r>
        <w:rPr>
          <w:rFonts w:hint="eastAsia" w:ascii="宋体" w:hAnsi="宋体"/>
          <w:szCs w:val="21"/>
        </w:rPr>
        <w:t xml:space="preserve">＜ </w:t>
      </w:r>
      <w:r>
        <w:rPr>
          <w:rFonts w:ascii="宋体" w:hAnsi="宋体"/>
          <w:i/>
          <w:szCs w:val="21"/>
        </w:rPr>
        <w:t>D</w:t>
      </w:r>
      <w:r>
        <w:rPr>
          <w:rFonts w:ascii="宋体" w:hAnsi="宋体"/>
          <w:szCs w:val="21"/>
        </w:rPr>
        <w:t>，则</w:t>
      </w:r>
      <w:r>
        <w:rPr>
          <w:rFonts w:ascii="宋体" w:hAnsi="宋体"/>
          <w:i/>
          <w:szCs w:val="21"/>
        </w:rPr>
        <w:t>E</w:t>
      </w:r>
      <w:r>
        <w:rPr>
          <w:rFonts w:hint="eastAsia" w:ascii="宋体" w:hAnsi="宋体"/>
          <w:i/>
          <w:szCs w:val="21"/>
        </w:rPr>
        <w:t xml:space="preserve"> </w:t>
      </w:r>
      <w:r>
        <w:rPr>
          <w:rFonts w:ascii="宋体" w:hAnsi="宋体"/>
          <w:szCs w:val="21"/>
        </w:rPr>
        <w:t>=</w:t>
      </w:r>
      <w:r>
        <w:rPr>
          <w:rFonts w:hint="eastAsia" w:ascii="宋体" w:hAnsi="宋体"/>
          <w:szCs w:val="21"/>
        </w:rPr>
        <w:t xml:space="preserve"> 0.5</w:t>
      </w:r>
      <w:r>
        <w:rPr>
          <w:rFonts w:ascii="宋体" w:hAnsi="宋体"/>
          <w:szCs w:val="21"/>
        </w:rPr>
        <w:t>。</w:t>
      </w:r>
      <w:r>
        <w:rPr>
          <w:rFonts w:hint="eastAsia" w:ascii="宋体" w:hAnsi="宋体"/>
          <w:szCs w:val="21"/>
        </w:rPr>
        <w:t>财务</w:t>
      </w:r>
      <w:r>
        <w:rPr>
          <w:rFonts w:ascii="宋体" w:hAnsi="宋体"/>
          <w:szCs w:val="21"/>
        </w:rPr>
        <w:t>得分最低为0分</w:t>
      </w:r>
      <w:r>
        <w:rPr>
          <w:rFonts w:ascii="宋体" w:hAnsi="宋体"/>
          <w:spacing w:val="-6"/>
          <w:szCs w:val="21"/>
        </w:rPr>
        <w:t>。</w:t>
      </w:r>
    </w:p>
    <w:p>
      <w:pPr>
        <w:spacing w:line="420" w:lineRule="exact"/>
        <w:ind w:firstLine="920" w:firstLineChars="465"/>
        <w:rPr>
          <w:rFonts w:hint="eastAsia" w:ascii="宋体" w:hAnsi="宋体"/>
          <w:spacing w:val="-6"/>
          <w:szCs w:val="21"/>
        </w:rPr>
      </w:pPr>
      <w:r>
        <w:rPr>
          <w:rFonts w:hint="eastAsia" w:ascii="宋体" w:hAnsi="宋体"/>
          <w:spacing w:val="-6"/>
          <w:szCs w:val="21"/>
        </w:rPr>
        <w:t>评标委员会按照投标人最终得分由高到低顺序确定出各投标人排名顺序。</w:t>
      </w:r>
    </w:p>
    <w:p>
      <w:pPr>
        <w:spacing w:line="420" w:lineRule="exact"/>
        <w:ind w:firstLine="920" w:firstLineChars="465"/>
        <w:rPr>
          <w:rFonts w:hint="eastAsia" w:ascii="宋体" w:hAnsi="宋体"/>
          <w:spacing w:val="-6"/>
          <w:szCs w:val="21"/>
        </w:rPr>
      </w:pPr>
      <w:r>
        <w:rPr>
          <w:rFonts w:hint="eastAsia" w:ascii="宋体" w:hAnsi="宋体"/>
          <w:spacing w:val="-6"/>
          <w:szCs w:val="21"/>
        </w:rPr>
        <w:t>注：以上内容中投标报价指的是投标人所填报的费率，招标人的最高投标限价指的是招标人公布的招标控制价中的费率。</w:t>
      </w:r>
    </w:p>
    <w:p>
      <w:pPr>
        <w:spacing w:before="240" w:after="120"/>
        <w:jc w:val="left"/>
        <w:outlineLvl w:val="2"/>
        <w:rPr>
          <w:rFonts w:ascii="宋体" w:hAnsi="宋体"/>
          <w:b/>
          <w:bCs/>
          <w:sz w:val="28"/>
        </w:rPr>
      </w:pPr>
      <w:bookmarkStart w:id="12" w:name="_Toc31227"/>
      <w:bookmarkStart w:id="13" w:name="_Toc222740133"/>
      <w:r>
        <w:rPr>
          <w:rFonts w:hint="eastAsia" w:ascii="宋体" w:hAnsi="宋体"/>
          <w:b/>
          <w:bCs/>
          <w:sz w:val="28"/>
        </w:rPr>
        <w:t>7</w:t>
      </w:r>
      <w:r>
        <w:rPr>
          <w:rFonts w:ascii="宋体" w:hAnsi="宋体"/>
          <w:b/>
          <w:bCs/>
          <w:sz w:val="28"/>
        </w:rPr>
        <w:t>．投标文件的澄清</w:t>
      </w:r>
      <w:bookmarkEnd w:id="12"/>
      <w:bookmarkEnd w:id="13"/>
    </w:p>
    <w:p>
      <w:pPr>
        <w:spacing w:line="420" w:lineRule="exact"/>
        <w:ind w:firstLine="420" w:firstLineChars="200"/>
        <w:rPr>
          <w:rFonts w:hint="eastAsia" w:ascii="宋体" w:hAnsi="宋体"/>
          <w:szCs w:val="21"/>
        </w:rPr>
      </w:pPr>
      <w:r>
        <w:rPr>
          <w:rFonts w:ascii="宋体" w:hAnsi="宋体"/>
          <w:szCs w:val="21"/>
        </w:rPr>
        <w:t>（1）</w:t>
      </w:r>
      <w:r>
        <w:rPr>
          <w:rFonts w:hint="eastAsia" w:ascii="宋体" w:hAnsi="宋体"/>
          <w:szCs w:val="21"/>
        </w:rPr>
        <w:t>除按本办法规定的重大偏差外，投标文件存在的其他问题应视为细微偏差。</w:t>
      </w:r>
      <w:r>
        <w:rPr>
          <w:rFonts w:ascii="宋体" w:hAnsi="宋体"/>
          <w:szCs w:val="21"/>
        </w:rPr>
        <w:t>为了有助于投标文件的审查、评价和比较，招标人可书面通知投标人澄清或说明其投标文件中不明确的内容，或要求补充相应资料或对细微偏差进行补正</w:t>
      </w:r>
      <w:r>
        <w:rPr>
          <w:rFonts w:hint="eastAsia" w:ascii="宋体" w:hAnsi="宋体"/>
          <w:szCs w:val="21"/>
        </w:rPr>
        <w:t>。</w:t>
      </w:r>
      <w:r>
        <w:rPr>
          <w:rFonts w:ascii="宋体" w:hAnsi="宋体"/>
          <w:szCs w:val="21"/>
        </w:rPr>
        <w:t>对此投标人不得拒绝</w:t>
      </w:r>
      <w:r>
        <w:rPr>
          <w:rFonts w:hint="eastAsia" w:ascii="宋体" w:hAnsi="宋体"/>
          <w:szCs w:val="21"/>
        </w:rPr>
        <w:t>，否则，作废标处理，并没收其投标保证金。</w:t>
      </w:r>
    </w:p>
    <w:p>
      <w:pPr>
        <w:spacing w:line="440" w:lineRule="exact"/>
        <w:ind w:firstLine="420" w:firstLineChars="200"/>
        <w:rPr>
          <w:rFonts w:hint="eastAsia" w:ascii="宋体" w:hAnsi="宋体"/>
          <w:szCs w:val="21"/>
        </w:rPr>
      </w:pPr>
      <w:r>
        <w:rPr>
          <w:rFonts w:ascii="宋体" w:hAnsi="宋体"/>
          <w:szCs w:val="21"/>
        </w:rPr>
        <w:t>（2）有关澄清、说明和补正的要求和回答均以书面形式进行，但招标人和投标人均不得因此而提出改变招标文件或投标文件实质内容的要求。投标人的书面澄清、说明或补正属于投标文件的组成部分。</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）招标人不接受投标人对投标文件的主动澄清、说明和补正。</w:t>
      </w:r>
    </w:p>
    <w:p>
      <w:pPr>
        <w:spacing w:before="240" w:after="120"/>
        <w:jc w:val="left"/>
        <w:outlineLvl w:val="2"/>
        <w:rPr>
          <w:rFonts w:hint="eastAsia" w:ascii="宋体" w:hAnsi="宋体"/>
          <w:b/>
          <w:bCs/>
          <w:sz w:val="28"/>
        </w:rPr>
      </w:pPr>
      <w:bookmarkStart w:id="14" w:name="_Toc222740136"/>
      <w:bookmarkStart w:id="15" w:name="_Toc1711"/>
      <w:r>
        <w:rPr>
          <w:rFonts w:hint="eastAsia" w:ascii="宋体" w:hAnsi="宋体"/>
          <w:b/>
          <w:bCs/>
          <w:sz w:val="28"/>
        </w:rPr>
        <w:t>8</w:t>
      </w:r>
      <w:r>
        <w:rPr>
          <w:rFonts w:ascii="宋体" w:hAnsi="宋体"/>
          <w:b/>
          <w:bCs/>
          <w:sz w:val="28"/>
        </w:rPr>
        <w:t>.</w:t>
      </w:r>
      <w:r>
        <w:rPr>
          <w:rFonts w:hint="eastAsia" w:ascii="宋体" w:hAnsi="宋体"/>
          <w:b/>
          <w:bCs/>
          <w:sz w:val="28"/>
        </w:rPr>
        <w:t xml:space="preserve">  </w:t>
      </w:r>
      <w:r>
        <w:rPr>
          <w:rFonts w:ascii="宋体" w:hAnsi="宋体"/>
          <w:b/>
          <w:bCs/>
          <w:sz w:val="28"/>
        </w:rPr>
        <w:t>综合</w:t>
      </w:r>
      <w:r>
        <w:rPr>
          <w:rFonts w:hint="eastAsia" w:ascii="宋体" w:hAnsi="宋体"/>
          <w:b/>
          <w:bCs/>
          <w:sz w:val="28"/>
        </w:rPr>
        <w:t>得</w:t>
      </w:r>
      <w:r>
        <w:rPr>
          <w:rFonts w:ascii="宋体" w:hAnsi="宋体"/>
          <w:b/>
          <w:bCs/>
          <w:sz w:val="28"/>
        </w:rPr>
        <w:t>分</w:t>
      </w:r>
      <w:r>
        <w:rPr>
          <w:rFonts w:hint="eastAsia" w:ascii="宋体" w:hAnsi="宋体"/>
          <w:b/>
          <w:bCs/>
          <w:sz w:val="28"/>
        </w:rPr>
        <w:t>（适用于综合评标法）</w:t>
      </w:r>
      <w:bookmarkEnd w:id="14"/>
      <w:bookmarkEnd w:id="15"/>
    </w:p>
    <w:p>
      <w:pPr>
        <w:spacing w:line="440" w:lineRule="exact"/>
        <w:ind w:firstLine="420" w:firstLineChars="200"/>
        <w:rPr>
          <w:rFonts w:ascii="宋体" w:hAnsi="宋体"/>
          <w:szCs w:val="21"/>
        </w:rPr>
      </w:pPr>
      <w:bookmarkStart w:id="16" w:name="_Toc222740137"/>
      <w:r>
        <w:rPr>
          <w:rFonts w:ascii="宋体" w:hAnsi="宋体"/>
          <w:szCs w:val="21"/>
        </w:rPr>
        <w:t>各投标人的综合得分等于技术评分、商务评分与</w:t>
      </w:r>
      <w:r>
        <w:rPr>
          <w:rFonts w:hint="eastAsia" w:ascii="宋体" w:hAnsi="宋体"/>
          <w:szCs w:val="21"/>
        </w:rPr>
        <w:t>财务</w:t>
      </w:r>
      <w:r>
        <w:rPr>
          <w:rFonts w:ascii="宋体" w:hAnsi="宋体"/>
          <w:szCs w:val="21"/>
        </w:rPr>
        <w:t>评分之和。</w:t>
      </w:r>
      <w:bookmarkEnd w:id="16"/>
      <w:bookmarkStart w:id="17" w:name="_Toc222740139"/>
    </w:p>
    <w:p>
      <w:pPr>
        <w:spacing w:line="440" w:lineRule="exact"/>
        <w:ind w:firstLine="420" w:firstLineChars="200"/>
        <w:rPr>
          <w:rFonts w:hint="eastAsia" w:ascii="宋体" w:hAnsi="宋体"/>
          <w:szCs w:val="21"/>
        </w:rPr>
      </w:pPr>
    </w:p>
    <w:p>
      <w:pPr>
        <w:spacing w:before="120" w:after="120"/>
        <w:jc w:val="left"/>
        <w:outlineLvl w:val="2"/>
        <w:rPr>
          <w:rFonts w:ascii="宋体" w:hAnsi="宋体"/>
          <w:b/>
          <w:bCs/>
          <w:sz w:val="28"/>
        </w:rPr>
      </w:pPr>
      <w:bookmarkStart w:id="18" w:name="_Toc2762"/>
      <w:r>
        <w:rPr>
          <w:rFonts w:hint="eastAsia" w:ascii="宋体" w:hAnsi="宋体"/>
          <w:b/>
          <w:bCs/>
          <w:sz w:val="28"/>
        </w:rPr>
        <w:t>9</w:t>
      </w:r>
      <w:r>
        <w:rPr>
          <w:rFonts w:ascii="宋体" w:hAnsi="宋体"/>
          <w:b/>
          <w:bCs/>
          <w:sz w:val="28"/>
        </w:rPr>
        <w:t>．推荐中标候选人</w:t>
      </w:r>
      <w:bookmarkEnd w:id="17"/>
      <w:bookmarkEnd w:id="18"/>
    </w:p>
    <w:p>
      <w:pPr>
        <w:spacing w:line="440" w:lineRule="exact"/>
        <w:ind w:firstLine="420" w:firstLineChars="200"/>
        <w:rPr>
          <w:rFonts w:ascii="宋体" w:hAnsi="宋体"/>
          <w:szCs w:val="21"/>
        </w:rPr>
      </w:pPr>
      <w:r>
        <w:rPr>
          <w:rFonts w:ascii="宋体" w:hAnsi="宋体"/>
          <w:szCs w:val="21"/>
        </w:rPr>
        <w:t>根据综合得分</w:t>
      </w:r>
      <w:r>
        <w:rPr>
          <w:rFonts w:hint="eastAsia" w:ascii="宋体" w:hAnsi="宋体"/>
          <w:szCs w:val="21"/>
        </w:rPr>
        <w:t>由高至低</w:t>
      </w:r>
      <w:r>
        <w:rPr>
          <w:rFonts w:ascii="宋体" w:hAnsi="宋体"/>
          <w:szCs w:val="21"/>
        </w:rPr>
        <w:t>排序，</w:t>
      </w:r>
      <w:r>
        <w:rPr>
          <w:rFonts w:hint="eastAsia" w:ascii="宋体" w:hAnsi="宋体"/>
          <w:szCs w:val="21"/>
        </w:rPr>
        <w:t>每个监理合同段</w:t>
      </w:r>
      <w:r>
        <w:rPr>
          <w:rFonts w:ascii="宋体" w:hAnsi="宋体"/>
          <w:szCs w:val="21"/>
        </w:rPr>
        <w:t>推荐</w:t>
      </w:r>
      <w:r>
        <w:rPr>
          <w:rFonts w:hint="eastAsia" w:ascii="宋体" w:hAnsi="宋体"/>
          <w:szCs w:val="21"/>
        </w:rPr>
        <w:t>得分最高者为</w:t>
      </w:r>
      <w:r>
        <w:rPr>
          <w:rFonts w:ascii="宋体" w:hAnsi="宋体"/>
          <w:szCs w:val="21"/>
        </w:rPr>
        <w:t>中标候选人。</w:t>
      </w:r>
    </w:p>
    <w:p>
      <w:pPr>
        <w:spacing w:line="440" w:lineRule="exact"/>
        <w:ind w:firstLine="420" w:firstLineChars="200"/>
        <w:rPr>
          <w:rFonts w:hint="eastAsia" w:ascii="宋体" w:hAnsi="宋体"/>
          <w:szCs w:val="21"/>
          <w:highlight w:val="green"/>
        </w:rPr>
      </w:pPr>
    </w:p>
    <w:p>
      <w:pPr>
        <w:spacing w:before="120" w:after="120"/>
        <w:jc w:val="left"/>
        <w:outlineLvl w:val="2"/>
        <w:rPr>
          <w:rFonts w:ascii="宋体" w:hAnsi="宋体"/>
          <w:b/>
          <w:bCs/>
          <w:sz w:val="28"/>
        </w:rPr>
      </w:pPr>
      <w:bookmarkStart w:id="19" w:name="_Toc222740140"/>
      <w:bookmarkStart w:id="20" w:name="_Toc13125"/>
      <w:r>
        <w:rPr>
          <w:rFonts w:hint="eastAsia" w:ascii="宋体" w:hAnsi="宋体"/>
          <w:b/>
          <w:bCs/>
          <w:sz w:val="28"/>
        </w:rPr>
        <w:t>10</w:t>
      </w:r>
      <w:r>
        <w:rPr>
          <w:rFonts w:ascii="宋体" w:hAnsi="宋体"/>
          <w:b/>
          <w:bCs/>
          <w:sz w:val="28"/>
        </w:rPr>
        <w:t>．评标报告</w:t>
      </w:r>
      <w:bookmarkEnd w:id="19"/>
      <w:bookmarkEnd w:id="20"/>
    </w:p>
    <w:p>
      <w:pPr>
        <w:spacing w:line="440" w:lineRule="exact"/>
        <w:ind w:firstLine="420" w:firstLineChars="200"/>
        <w:rPr>
          <w:rFonts w:hint="eastAsia" w:ascii="宋体" w:hAnsi="宋体"/>
          <w:szCs w:val="21"/>
        </w:rPr>
      </w:pPr>
      <w:r>
        <w:rPr>
          <w:rFonts w:ascii="宋体" w:hAnsi="宋体"/>
          <w:szCs w:val="21"/>
        </w:rPr>
        <w:t>评标委员会审定评标结果后，向招标人提交书面报告。评标报告应如实记载下列内容：</w:t>
      </w:r>
    </w:p>
    <w:p>
      <w:pPr>
        <w:spacing w:line="440" w:lineRule="exact"/>
        <w:ind w:firstLine="420" w:firstLineChars="200"/>
        <w:rPr>
          <w:rFonts w:hint="eastAsia" w:ascii="宋体" w:hAnsi="宋体"/>
          <w:szCs w:val="21"/>
        </w:rPr>
      </w:pPr>
      <w:r>
        <w:rPr>
          <w:rFonts w:hint="eastAsia" w:ascii="宋体" w:hAnsi="宋体"/>
          <w:szCs w:val="21"/>
        </w:rPr>
        <w:t>10.1   评标委员会的成员名单</w:t>
      </w:r>
    </w:p>
    <w:p>
      <w:pPr>
        <w:spacing w:line="440" w:lineRule="exact"/>
        <w:ind w:firstLine="420" w:firstLineChars="200"/>
        <w:rPr>
          <w:rFonts w:hint="eastAsia" w:ascii="宋体" w:hAnsi="宋体"/>
          <w:szCs w:val="21"/>
        </w:rPr>
      </w:pPr>
      <w:r>
        <w:rPr>
          <w:rFonts w:hint="eastAsia" w:ascii="宋体" w:hAnsi="宋体"/>
          <w:szCs w:val="21"/>
        </w:rPr>
        <w:t>10.2   开标记录情况</w:t>
      </w:r>
    </w:p>
    <w:p>
      <w:pPr>
        <w:spacing w:line="440" w:lineRule="exact"/>
        <w:ind w:firstLine="420" w:firstLineChars="200"/>
        <w:rPr>
          <w:rFonts w:hint="eastAsia" w:ascii="宋体" w:hAnsi="宋体"/>
          <w:szCs w:val="21"/>
        </w:rPr>
      </w:pPr>
      <w:r>
        <w:rPr>
          <w:rFonts w:hint="eastAsia" w:ascii="宋体" w:hAnsi="宋体"/>
          <w:szCs w:val="21"/>
        </w:rPr>
        <w:t>10.3   符合要求的投标人情况</w:t>
      </w:r>
    </w:p>
    <w:p>
      <w:pPr>
        <w:spacing w:line="440" w:lineRule="exact"/>
        <w:ind w:firstLine="420" w:firstLineChars="200"/>
        <w:rPr>
          <w:rFonts w:hint="eastAsia" w:ascii="宋体" w:hAnsi="宋体"/>
          <w:szCs w:val="21"/>
        </w:rPr>
      </w:pPr>
      <w:r>
        <w:rPr>
          <w:rFonts w:hint="eastAsia" w:ascii="宋体" w:hAnsi="宋体"/>
          <w:szCs w:val="21"/>
        </w:rPr>
        <w:t>10.4   评标采用的标准、评标办法</w:t>
      </w:r>
    </w:p>
    <w:p>
      <w:pPr>
        <w:spacing w:line="440" w:lineRule="exact"/>
        <w:ind w:firstLine="420" w:firstLineChars="200"/>
        <w:rPr>
          <w:rFonts w:hint="eastAsia" w:ascii="宋体" w:hAnsi="宋体"/>
          <w:szCs w:val="21"/>
        </w:rPr>
      </w:pPr>
      <w:r>
        <w:rPr>
          <w:rFonts w:hint="eastAsia" w:ascii="宋体" w:hAnsi="宋体"/>
          <w:szCs w:val="21"/>
        </w:rPr>
        <w:t>10.5   投标人排序</w:t>
      </w:r>
    </w:p>
    <w:p>
      <w:pPr>
        <w:spacing w:line="440" w:lineRule="exact"/>
        <w:ind w:firstLine="420" w:firstLineChars="200"/>
        <w:rPr>
          <w:rFonts w:hint="eastAsia" w:ascii="宋体" w:hAnsi="宋体"/>
          <w:szCs w:val="21"/>
        </w:rPr>
      </w:pPr>
      <w:r>
        <w:rPr>
          <w:rFonts w:hint="eastAsia" w:ascii="宋体" w:hAnsi="宋体"/>
          <w:szCs w:val="21"/>
        </w:rPr>
        <w:t>10.6   推荐的中标候选人</w:t>
      </w:r>
    </w:p>
    <w:p>
      <w:pPr>
        <w:spacing w:line="440" w:lineRule="exact"/>
        <w:ind w:firstLine="420" w:firstLineChars="200"/>
        <w:rPr>
          <w:rFonts w:hint="eastAsia" w:ascii="宋体" w:hAnsi="宋体"/>
          <w:szCs w:val="21"/>
        </w:rPr>
      </w:pPr>
      <w:r>
        <w:rPr>
          <w:rFonts w:hint="eastAsia" w:ascii="宋体" w:hAnsi="宋体"/>
          <w:szCs w:val="21"/>
        </w:rPr>
        <w:t>10.7   需要说明的其他事项</w:t>
      </w:r>
    </w:p>
    <w:p>
      <w:pPr>
        <w:spacing w:line="440" w:lineRule="exact"/>
        <w:ind w:firstLine="420" w:firstLineChars="200"/>
        <w:rPr>
          <w:rFonts w:hint="eastAsia" w:ascii="宋体" w:hAnsi="宋体"/>
          <w:szCs w:val="21"/>
        </w:rPr>
      </w:pPr>
      <w:r>
        <w:rPr>
          <w:rFonts w:ascii="宋体" w:hAnsi="宋体"/>
          <w:szCs w:val="21"/>
        </w:rPr>
        <w:t>1</w:t>
      </w:r>
      <w:r>
        <w:rPr>
          <w:rFonts w:hint="eastAsia" w:ascii="宋体" w:hAnsi="宋体"/>
          <w:szCs w:val="21"/>
        </w:rPr>
        <w:t>0</w:t>
      </w:r>
      <w:r>
        <w:rPr>
          <w:rFonts w:ascii="宋体" w:hAnsi="宋体"/>
          <w:szCs w:val="21"/>
        </w:rPr>
        <w:t>.</w:t>
      </w:r>
      <w:r>
        <w:rPr>
          <w:rFonts w:hint="eastAsia" w:ascii="宋体" w:hAnsi="宋体"/>
          <w:szCs w:val="21"/>
        </w:rPr>
        <w:t>8</w:t>
      </w:r>
      <w:r>
        <w:rPr>
          <w:rFonts w:ascii="宋体" w:hAnsi="宋体"/>
          <w:szCs w:val="21"/>
        </w:rPr>
        <w:t xml:space="preserve">  </w:t>
      </w:r>
      <w:r>
        <w:rPr>
          <w:rFonts w:hint="eastAsia" w:ascii="宋体" w:hAnsi="宋体"/>
          <w:szCs w:val="21"/>
        </w:rPr>
        <w:t xml:space="preserve"> </w:t>
      </w:r>
      <w:r>
        <w:rPr>
          <w:rFonts w:ascii="宋体" w:hAnsi="宋体"/>
          <w:szCs w:val="21"/>
        </w:rPr>
        <w:t>附件</w:t>
      </w:r>
    </w:p>
    <w:p>
      <w:pPr>
        <w:ind w:firstLine="945" w:firstLineChars="4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016B"/>
    <w:rsid w:val="0003016B"/>
    <w:rsid w:val="001056C2"/>
    <w:rsid w:val="0061747B"/>
    <w:rsid w:val="00922848"/>
    <w:rsid w:val="00CA65E0"/>
    <w:rsid w:val="61F02603"/>
    <w:rsid w:val="68C23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Arial"/>
      <w:color w:val="0000FF"/>
      <w:kern w:val="0"/>
      <w:sz w:val="24"/>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880</Words>
  <Characters>5022</Characters>
  <Lines>41</Lines>
  <Paragraphs>11</Paragraphs>
  <TotalTime>0</TotalTime>
  <ScaleCrop>false</ScaleCrop>
  <LinksUpToDate>false</LinksUpToDate>
  <CharactersWithSpaces>5891</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2018-04-03T08:44:00Z</dcterms:created>
  <dc:creator>Windows 用户</dc:creator>
  <cp:lastModifiedBy>风筝</cp:lastModifiedBy>
  <dcterms:modified xsi:type="dcterms:W3CDTF">2018-04-27T04:44:55Z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