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39"/>
        <w:jc w:val="center"/>
        <w:rPr>
          <w:rFonts w:hint="eastAsia" w:ascii="方正小标宋简体" w:eastAsia="方正小标宋简体"/>
          <w:b/>
          <w:color w:val="000000"/>
          <w:sz w:val="32"/>
          <w:szCs w:val="32"/>
        </w:rPr>
      </w:pPr>
      <w:r>
        <w:rPr>
          <w:rFonts w:hint="eastAsia" w:ascii="方正小标宋简体" w:eastAsia="方正小标宋简体"/>
          <w:b/>
          <w:color w:val="000000"/>
          <w:sz w:val="32"/>
          <w:szCs w:val="32"/>
        </w:rPr>
        <w:t>第三章  评标办法</w:t>
      </w:r>
    </w:p>
    <w:p>
      <w:pPr>
        <w:spacing w:line="360" w:lineRule="auto"/>
        <w:ind w:left="570"/>
        <w:jc w:val="center"/>
        <w:rPr>
          <w:rFonts w:hint="eastAsia" w:ascii="宋体" w:hAnsi="宋体" w:eastAsia="宋体" w:cs="宋体"/>
          <w:color w:val="auto"/>
          <w:sz w:val="28"/>
          <w:szCs w:val="28"/>
        </w:rPr>
      </w:pPr>
      <w:bookmarkStart w:id="0" w:name="_Toc27497_WPSOffice_Level2"/>
      <w:bookmarkStart w:id="14" w:name="_GoBack"/>
      <w:bookmarkEnd w:id="14"/>
      <w:r>
        <w:rPr>
          <w:rFonts w:hint="eastAsia" w:ascii="宋体" w:hAnsi="宋体" w:eastAsia="宋体" w:cs="宋体"/>
          <w:color w:val="auto"/>
          <w:sz w:val="28"/>
          <w:szCs w:val="28"/>
        </w:rPr>
        <w:t>评标办法前附表（</w:t>
      </w:r>
      <w:r>
        <w:rPr>
          <w:rFonts w:hint="eastAsia" w:ascii="宋体" w:hAnsi="宋体" w:eastAsia="宋体" w:cs="宋体"/>
          <w:b/>
          <w:color w:val="auto"/>
          <w:sz w:val="28"/>
          <w:szCs w:val="28"/>
        </w:rPr>
        <w:t>合理低价法</w:t>
      </w:r>
      <w:r>
        <w:rPr>
          <w:rFonts w:hint="eastAsia" w:ascii="宋体" w:hAnsi="宋体" w:eastAsia="宋体" w:cs="宋体"/>
          <w:color w:val="auto"/>
          <w:sz w:val="28"/>
          <w:szCs w:val="28"/>
        </w:rPr>
        <w:t>）</w:t>
      </w:r>
      <w:bookmarkEnd w:id="0"/>
    </w:p>
    <w:tbl>
      <w:tblPr>
        <w:tblStyle w:val="6"/>
        <w:tblW w:w="968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173"/>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952"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8730" w:type="dxa"/>
            <w:gridSpan w:val="2"/>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2"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73"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评标方法</w:t>
            </w:r>
          </w:p>
        </w:tc>
        <w:tc>
          <w:tcPr>
            <w:tcW w:w="7557" w:type="dxa"/>
            <w:vAlign w:val="top"/>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综合评分相等时，评标委员会依次按照以下优先顺序推荐中标候选人或确定中标人：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（1）评标价低的投标人优先；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（2）被招标项目所在地省级交通运输主管部门评为较高信用等级的投标人优先；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2"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形式评审与响应性评审标准</w:t>
            </w:r>
          </w:p>
        </w:tc>
        <w:tc>
          <w:tcPr>
            <w:tcW w:w="7557" w:type="dxa"/>
            <w:vAlign w:val="top"/>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第一个信封（商务及技术文件）评审标准：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(1)投标文件按照招标文件规定的格式、内容填写，字迹清晰可辨：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a．投标函按招标文件规定填报了项目名称、标段号、补遗书编号（如有）、工期、工程质量要求及安全目标；；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b．投标函附录的所有数据均符合招标文件规定；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c．投标文件组成齐全完整，内容均按规定填写。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（2）投标文件上法定代表人或其委托代理人的签字、投标人的单位章盖章齐全，符合招标文件规定。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(3)与申请资格预审时比较，投标人发生合并、分立、破产等重大变化的，仍具备资格预审文件规定的相应资格条件且其投标未影响招标公正性：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a．投标人应提供相关部门的合法批件及企业法人营业执照和资质证书等证件的副本变更记录复印件；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b．投标人仍然满足资格预审文件中规定的资格预审条件最低要求（资质、业绩、人员、信誉、财务等）；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c．与所投标段的其他投标人不存在控股、管理关系或单位负责人为同一人的情况；与招标人也不存在利害关系并可能影响招标公正性。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(4)投标人按照招标文件的规定提供了投标保证金：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a．投标保证金金额符合招标文件规定的金额，且投标保证金</w:t>
            </w:r>
            <w:r>
              <w:rPr>
                <w:rFonts w:hint="eastAsia" w:ascii="宋体" w:hAnsi="宋体" w:eastAsia="宋体" w:cs="宋体"/>
                <w:color w:val="auto"/>
                <w:w w:val="98"/>
                <w:sz w:val="21"/>
                <w:szCs w:val="21"/>
              </w:rPr>
              <w:t>有效期</w:t>
            </w:r>
            <w:r>
              <w:rPr>
                <w:rFonts w:hint="eastAsia" w:ascii="宋体" w:hAnsi="宋体" w:eastAsia="宋体" w:cs="宋体"/>
                <w:color w:val="auto"/>
                <w:sz w:val="21"/>
                <w:szCs w:val="21"/>
              </w:rPr>
              <w:t>不少于投标有效期；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b．若投标保证金采用现金或支票形式提交，投标人应在递交投标文件截止时间之前，将投标保证金由投标人的基本账户转入招标人指定账户；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c．若投标保证金采用银行保函形式提交，银行保函的格式、开具保</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函的银行均满足招标文件要求，且在递交投标文件截止时间之前向招标人提交了银行保函原件。</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（5）投标人法定代表人授权委托代理人签署投标文件的，须提交授权委托书，且授权人和被授权人均在授权委托书上签名，未使用印章、签名章或其他电子制版签名代替。</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（6）投标人法定代表人亲自签署投标文件的，提供了法定代表人身份证明，且法定代表人在法定代表人身份证明上签名，未使用印章、签名章或其他电子制版签名代替。 </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（7）投标人以联合体形式投标时，联合体满足招标文件的要求：</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a.未进行资格预审的，投标人按照招标文件提供的格式签订了联合体协议书，明确各方承担连带责任，并明确了联合体牵头人；</w:t>
            </w:r>
          </w:p>
        </w:tc>
      </w:tr>
    </w:tbl>
    <w:tbl>
      <w:tblPr>
        <w:tblStyle w:val="6"/>
        <w:tblpPr w:leftFromText="180" w:rightFromText="180" w:vertAnchor="text" w:horzAnchor="page" w:tblpX="1455" w:tblpY="271"/>
        <w:tblOverlap w:val="never"/>
        <w:tblW w:w="9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60"/>
        <w:gridCol w:w="7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8"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8648" w:type="dxa"/>
            <w:gridSpan w:val="2"/>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08"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形式评审与响应性评审标准</w:t>
            </w:r>
          </w:p>
        </w:tc>
        <w:tc>
          <w:tcPr>
            <w:tcW w:w="7388" w:type="dxa"/>
            <w:vAlign w:val="top"/>
          </w:tcPr>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b.已进行资格预审的，投标人提供了资格预审申请文件中所附的联合体协议书复印件，且通过资格预审后的联合体无成员增减或更换的情况。  </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（8）投标人如有分包计划，符合招标文件第二章“投标人须知”第 1.11 款规定，且按招标文件第九章“投标文件格式”的要求填写了“拟分包项目情况表”。</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（9）同一投标人未提交两个以上不同的投标文件，但招标文件要求提交备选投标的除外。</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（10）投标文件中未出现有关投标报价的内容。</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（11）投标文件载明的招标项目完成期限未超过招标文件规定的时限。</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（12）投标文件对招标文件的实质性要求和条件作出响应。</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（13）权利义务符合招标文件规定：</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a.投标人应接受招标文件规定的风险划分原则，未提出新的风险划分办法；</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b.投标人未增加发包人的责任范围，或减少投标人义务；</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c.投标人未提出不同的工程验收、计量、支付办法；</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d.投标人对合同纠纷、事故处理办法未提出异议；</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e.投标人在投标活动中无欺诈行为；</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f.投标人未对合同条款有重要保留。</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（14）投标文件正、副本份数符合招标文件第二章“投标人须知”第 3.7.4 项规定。</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w:t>
            </w:r>
          </w:p>
          <w:p>
            <w:pPr>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第二个信封（报价文件）评审标准：</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（1）投标文件按照招标文件规定的格式、内容填写，字迹清晰可辨：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a.投标函按招标文件规定填报了项目名称、标段号、补遗书编号（如有）、投标价（包括大写金额和小写金额）；</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b.已标价工程量清单说明文字与招标文件规定一致，未进行实质性修改和删减；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c.投标文件组成齐全完整，内容均按规定填写。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（2）投标文件上法定代表人或其委托代理人的签字、投标人的单位章盖章齐全，符合招标文件规定。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（3）投标报价或调价函中的报价未超过招标文件设定的最高投标限价（如有）。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（4）投标报价或调价函中报价的大写金额能够确定具体数值。</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（5）同一投标人未提交两个以上不同的投标报价，但招标文件要求提交备选投标的除外。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（6）投标人若提交调价函，调价函符合招标文件第二章“投标人须知”第 3.2.6 项要求。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（7）投标人若填写工程量固化清单，填写完毕的工程量固化清单未对工程量固化清单电子文件中的数据、格式和运算定义进行修改；工程量固化清单中的投标报价和投标函大写金额报价一致。</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（8）投标文件正、副本份数符合招标文件第二章“投标人须知”第3.7.4 项规定。</w:t>
            </w:r>
          </w:p>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w:t>
            </w:r>
          </w:p>
        </w:tc>
      </w:tr>
    </w:tbl>
    <w:p>
      <w:pPr>
        <w:spacing w:line="360" w:lineRule="auto"/>
        <w:rPr>
          <w:rFonts w:hint="eastAsia" w:ascii="宋体" w:hAnsi="宋体" w:eastAsia="宋体" w:cs="宋体"/>
          <w:b/>
          <w:color w:val="auto"/>
          <w:sz w:val="21"/>
          <w:szCs w:val="21"/>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200"/>
        <w:gridCol w:w="7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9"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8719" w:type="dxa"/>
            <w:gridSpan w:val="2"/>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4" w:hRule="atLeast"/>
        </w:trPr>
        <w:tc>
          <w:tcPr>
            <w:tcW w:w="1109"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资格评审标准</w:t>
            </w:r>
          </w:p>
        </w:tc>
        <w:tc>
          <w:tcPr>
            <w:tcW w:w="7519" w:type="dxa"/>
            <w:vAlign w:val="top"/>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（1）投标人具备有效的营业执照、组织机构代码证、资质证书、安全生产许可证和基本账户开户许可证。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（2）投标人的资质等级符合招标文件规定。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（3）投标人的财务状况符合招标文件规定。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（4）投标人的类似项目业绩符合招标文件规定。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（5）投标人的信誉符合招标文件规定。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（6）投标人的项目经理和项目总工资格、在岗情况符合招标文件规定。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（7）投标人的其他要求符合招标文件规定。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（8）投标人不存在第二章“投标人须知”第 1.4.3 项或第 1.4.4 项规定的任何一种情形。</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（9）投标人符合第二章“投标人须知”第 1.4.5 项规定。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（10）以联合体形式参与投标的，联合体各方均未再以自己名义单独或参加其他联合体在同一标段中投标；独立参与投标的，投标人未同时参加联合体在同一标段中投标。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109"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2.2.1</w:t>
            </w:r>
          </w:p>
        </w:tc>
        <w:tc>
          <w:tcPr>
            <w:tcW w:w="1200" w:type="dxa"/>
            <w:vAlign w:val="top"/>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分值构成（总分100分）</w:t>
            </w:r>
          </w:p>
        </w:tc>
        <w:tc>
          <w:tcPr>
            <w:tcW w:w="751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评标价：100分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1109"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评标基准价计算方法</w:t>
            </w:r>
          </w:p>
        </w:tc>
        <w:tc>
          <w:tcPr>
            <w:tcW w:w="7519" w:type="dxa"/>
            <w:vAlign w:val="top"/>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评标基准价的计算：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在开标现场，招标人将当场计算并宣布评标基准价。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（1）评标价的确定：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评标价＝投标函文字报价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（2）评标价平均值的计算：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除按第二章“投标人须知”第 5.2.4 项规定开标现场被宣布为不进入评标基准价计算的投标报价之外，所有投标人的评标价去掉一个最高值和一个最低值后的算术平均值即为评标价平均值（如果参与评标价平均值计算的有效投标人少于 5 家时，则计算评标价平均值时不去掉最高值和最低值）；</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（3）评标基准价的确定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10"/>
                <w:sz w:val="21"/>
                <w:szCs w:val="21"/>
              </w:rPr>
              <w:t>招标人设置评标基准价系数，由投标人代表现场抽取</w:t>
            </w:r>
            <w:r>
              <w:rPr>
                <w:rFonts w:hint="eastAsia" w:ascii="宋体" w:hAnsi="宋体" w:eastAsia="宋体" w:cs="宋体"/>
                <w:color w:val="auto"/>
                <w:spacing w:val="-10"/>
                <w:sz w:val="21"/>
                <w:szCs w:val="21"/>
                <w:lang w:val="en-US"/>
              </w:rPr>
              <w:t>K值</w:t>
            </w:r>
            <w:r>
              <w:rPr>
                <w:rFonts w:hint="eastAsia" w:ascii="宋体" w:hAnsi="宋体" w:eastAsia="宋体" w:cs="宋体"/>
                <w:color w:val="auto"/>
                <w:spacing w:val="-10"/>
                <w:sz w:val="21"/>
                <w:szCs w:val="21"/>
              </w:rPr>
              <w:t>，</w:t>
            </w:r>
            <w:r>
              <w:rPr>
                <w:rFonts w:hint="eastAsia" w:ascii="宋体" w:hAnsi="宋体" w:eastAsia="宋体" w:cs="宋体"/>
                <w:color w:val="auto"/>
                <w:spacing w:val="-10"/>
                <w:sz w:val="21"/>
                <w:szCs w:val="21"/>
                <w:lang w:val="en-US"/>
              </w:rPr>
              <w:t>0%、1%、1.5%、2.5%、3%，</w:t>
            </w:r>
            <w:r>
              <w:rPr>
                <w:rFonts w:hint="eastAsia" w:ascii="宋体" w:hAnsi="宋体" w:eastAsia="宋体" w:cs="宋体"/>
                <w:color w:val="auto"/>
                <w:spacing w:val="-10"/>
                <w:sz w:val="21"/>
                <w:szCs w:val="21"/>
              </w:rPr>
              <w:t>评</w:t>
            </w:r>
            <w:r>
              <w:rPr>
                <w:rFonts w:hint="eastAsia" w:ascii="宋体" w:hAnsi="宋体" w:eastAsia="宋体" w:cs="宋体"/>
                <w:color w:val="auto"/>
                <w:spacing w:val="-5"/>
                <w:sz w:val="21"/>
                <w:szCs w:val="21"/>
              </w:rPr>
              <w:t>标价平均值乘以现场抽取的评标基准价系数作为评标基准价。</w:t>
            </w:r>
            <w:r>
              <w:rPr>
                <w:rFonts w:hint="eastAsia" w:ascii="宋体" w:hAnsi="宋体" w:eastAsia="宋体" w:cs="宋体"/>
                <w:color w:val="auto"/>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09"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2.2.3</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评标价的偏差率计算公式</w:t>
            </w:r>
          </w:p>
        </w:tc>
        <w:tc>
          <w:tcPr>
            <w:tcW w:w="751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偏差率=100% ×（投标人评标价－评标基准价）/评标基准价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偏差率保留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09"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2.2.4</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评标价</w:t>
            </w:r>
          </w:p>
        </w:tc>
        <w:tc>
          <w:tcPr>
            <w:tcW w:w="751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100分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评标价得分计算公式示例：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（1）如果投标人的评标价&gt;评标基准价，则评标价得分＝100－偏差率×100×E1；</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（2）如果投标人的评标价≤评标基准价，则评标价得分＝100＋偏差率×100×E2。</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其中：E1是评标价每高于评标基准价一个百分点的扣分值，E2是评标价每低于评标基准价一个百分点的扣分值；招标人可依据招标项目具体特点和实际需要设置 E1、E2，但 E1 应大于 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828" w:type="dxa"/>
            <w:gridSpan w:val="3"/>
            <w:vAlign w:val="center"/>
          </w:tcPr>
          <w:p>
            <w:pPr>
              <w:pStyle w:val="2"/>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需要补充的其他内容：</w:t>
            </w:r>
          </w:p>
          <w:p>
            <w:pPr>
              <w:pStyle w:val="2"/>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1、投标文件第一个信封（商务及技术文件）中不得出现有关投标报价的内容，否则评标委员会将对投标文件第一个信封（商务及技术文件）作否决投标处理。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2、形式评审与响应性评审标准中有关报价条款内容，在第二个信封（投标报价和工程量清单）开标后进行评审。</w:t>
            </w:r>
          </w:p>
        </w:tc>
      </w:tr>
    </w:tbl>
    <w:p>
      <w:pPr>
        <w:spacing w:line="360" w:lineRule="auto"/>
        <w:rPr>
          <w:rFonts w:hint="eastAsia" w:ascii="宋体" w:hAnsi="宋体" w:eastAsia="宋体" w:cs="宋体"/>
          <w:b/>
          <w:color w:val="auto"/>
          <w:sz w:val="21"/>
          <w:szCs w:val="21"/>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ind w:firstLine="236" w:firstLineChars="98"/>
        <w:rPr>
          <w:rFonts w:hint="eastAsia" w:ascii="宋体" w:hAnsi="宋体" w:eastAsia="宋体" w:cs="宋体"/>
          <w:b/>
          <w:color w:val="auto"/>
          <w:sz w:val="24"/>
        </w:rPr>
      </w:pPr>
    </w:p>
    <w:p>
      <w:pPr>
        <w:spacing w:line="360" w:lineRule="auto"/>
        <w:rPr>
          <w:rFonts w:hint="eastAsia" w:ascii="宋体" w:hAnsi="宋体" w:eastAsia="宋体" w:cs="宋体"/>
          <w:b/>
          <w:color w:val="auto"/>
          <w:sz w:val="28"/>
          <w:szCs w:val="28"/>
        </w:rPr>
      </w:pPr>
      <w:bookmarkStart w:id="1" w:name="_Toc17956_WPSOffice_Level2"/>
      <w:r>
        <w:rPr>
          <w:rFonts w:hint="eastAsia" w:ascii="宋体" w:hAnsi="宋体" w:eastAsia="宋体" w:cs="宋体"/>
          <w:b/>
          <w:color w:val="auto"/>
          <w:sz w:val="28"/>
          <w:szCs w:val="28"/>
        </w:rPr>
        <w:t>1．评标方法</w:t>
      </w:r>
      <w:bookmarkEnd w:id="1"/>
    </w:p>
    <w:p>
      <w:pPr>
        <w:spacing w:line="360" w:lineRule="auto"/>
        <w:ind w:firstLine="480" w:firstLineChars="200"/>
        <w:rPr>
          <w:rFonts w:hint="eastAsia" w:ascii="宋体" w:hAnsi="宋体" w:eastAsia="宋体" w:cs="宋体"/>
          <w:color w:val="auto"/>
          <w:sz w:val="20"/>
          <w:szCs w:val="20"/>
        </w:rPr>
      </w:pPr>
      <w:r>
        <w:rPr>
          <w:rFonts w:hint="eastAsia" w:ascii="宋体" w:hAnsi="宋体" w:eastAsia="宋体" w:cs="宋体"/>
          <w:color w:val="auto"/>
          <w:sz w:val="24"/>
        </w:rPr>
        <w:t>本次评标采用合理低价法。评标委员会对满足招标文件实质性要求的投标文件，按照本章第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360" w:lineRule="auto"/>
        <w:rPr>
          <w:rFonts w:hint="eastAsia" w:ascii="宋体" w:hAnsi="宋体" w:eastAsia="宋体" w:cs="宋体"/>
          <w:b/>
          <w:color w:val="auto"/>
          <w:sz w:val="28"/>
          <w:szCs w:val="28"/>
        </w:rPr>
      </w:pPr>
      <w:bookmarkStart w:id="2" w:name="_Toc7053_WPSOffice_Level2"/>
      <w:r>
        <w:rPr>
          <w:rFonts w:hint="eastAsia" w:ascii="宋体" w:hAnsi="宋体" w:eastAsia="宋体" w:cs="宋体"/>
          <w:b/>
          <w:color w:val="auto"/>
          <w:sz w:val="28"/>
          <w:szCs w:val="28"/>
        </w:rPr>
        <w:t>2．评审标准</w:t>
      </w:r>
      <w:bookmarkEnd w:id="2"/>
    </w:p>
    <w:p>
      <w:pPr>
        <w:spacing w:line="360" w:lineRule="auto"/>
        <w:ind w:firstLine="241" w:firstLineChars="100"/>
        <w:rPr>
          <w:rFonts w:hint="eastAsia" w:ascii="宋体" w:hAnsi="宋体" w:eastAsia="宋体" w:cs="宋体"/>
          <w:color w:val="auto"/>
          <w:sz w:val="24"/>
        </w:rPr>
      </w:pPr>
      <w:bookmarkStart w:id="3" w:name="_Toc30933_WPSOffice_Level3"/>
      <w:r>
        <w:rPr>
          <w:rFonts w:hint="eastAsia" w:ascii="宋体" w:hAnsi="宋体" w:eastAsia="宋体" w:cs="宋体"/>
          <w:b/>
          <w:bCs/>
          <w:color w:val="auto"/>
          <w:sz w:val="24"/>
        </w:rPr>
        <w:t>2．1  初步评审标准</w:t>
      </w:r>
      <w:bookmarkEnd w:id="3"/>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bCs/>
          <w:color w:val="auto"/>
          <w:sz w:val="24"/>
        </w:rPr>
        <w:t xml:space="preserve"> 2．1．1 </w:t>
      </w:r>
      <w:r>
        <w:rPr>
          <w:rFonts w:hint="eastAsia" w:ascii="宋体" w:hAnsi="宋体" w:eastAsia="宋体" w:cs="宋体"/>
          <w:color w:val="auto"/>
          <w:sz w:val="24"/>
          <w:lang w:eastAsia="zh-CN"/>
        </w:rPr>
        <w:t>形式评审标准与响应评审标准：</w:t>
      </w:r>
      <w:r>
        <w:rPr>
          <w:rFonts w:hint="eastAsia" w:ascii="宋体" w:hAnsi="宋体" w:eastAsia="宋体" w:cs="宋体"/>
          <w:color w:val="auto"/>
          <w:sz w:val="24"/>
        </w:rPr>
        <w:t>见资格预审文件第三章“资格审查办法”详细审查标准。</w:t>
      </w:r>
      <w:r>
        <w:rPr>
          <w:rFonts w:hint="eastAsia" w:ascii="宋体" w:hAnsi="宋体" w:eastAsia="宋体" w:cs="宋体"/>
          <w:b/>
          <w:bCs/>
          <w:color w:val="auto"/>
          <w:sz w:val="24"/>
        </w:rPr>
        <w:t xml:space="preserve">      </w:t>
      </w:r>
      <w:r>
        <w:rPr>
          <w:rFonts w:hint="eastAsia" w:ascii="宋体" w:hAnsi="宋体" w:eastAsia="宋体" w:cs="宋体"/>
          <w:color w:val="auto"/>
          <w:sz w:val="24"/>
        </w:rPr>
        <w:t xml:space="preserve">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2．1．2</w:t>
      </w:r>
      <w:r>
        <w:rPr>
          <w:rFonts w:hint="eastAsia" w:ascii="宋体" w:hAnsi="宋体" w:eastAsia="宋体" w:cs="宋体"/>
          <w:color w:val="auto"/>
          <w:sz w:val="24"/>
        </w:rPr>
        <w:t>资格评审标准：见资格预审文件第三章“资格审查办法”详细审查标准。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bCs/>
          <w:color w:val="auto"/>
          <w:sz w:val="24"/>
        </w:rPr>
        <w:t xml:space="preserve"> 2．1．3 </w:t>
      </w:r>
      <w:r>
        <w:rPr>
          <w:rFonts w:hint="eastAsia" w:ascii="宋体" w:hAnsi="宋体" w:eastAsia="宋体" w:cs="宋体"/>
          <w:color w:val="auto"/>
          <w:sz w:val="24"/>
          <w:lang w:eastAsia="zh-CN"/>
        </w:rPr>
        <w:t>形式评审标准与响应评审标准：</w:t>
      </w:r>
      <w:r>
        <w:rPr>
          <w:rFonts w:hint="eastAsia" w:ascii="宋体" w:hAnsi="宋体" w:eastAsia="宋体" w:cs="宋体"/>
          <w:color w:val="auto"/>
          <w:sz w:val="24"/>
        </w:rPr>
        <w:t>见资格预审文件第三章“资格审查办法”详细审查标准。</w:t>
      </w:r>
      <w:r>
        <w:rPr>
          <w:rFonts w:hint="eastAsia" w:ascii="宋体" w:hAnsi="宋体" w:eastAsia="宋体" w:cs="宋体"/>
          <w:b/>
          <w:bCs/>
          <w:color w:val="auto"/>
          <w:sz w:val="24"/>
        </w:rPr>
        <w:t xml:space="preserve"> </w:t>
      </w:r>
      <w:r>
        <w:rPr>
          <w:rFonts w:hint="eastAsia" w:ascii="宋体" w:hAnsi="宋体" w:eastAsia="宋体" w:cs="宋体"/>
          <w:color w:val="auto"/>
          <w:sz w:val="24"/>
        </w:rPr>
        <w:t xml:space="preserve"> </w:t>
      </w:r>
    </w:p>
    <w:p>
      <w:pPr>
        <w:spacing w:line="360" w:lineRule="auto"/>
        <w:ind w:firstLine="241" w:firstLineChars="100"/>
        <w:rPr>
          <w:rFonts w:hint="eastAsia" w:ascii="宋体" w:hAnsi="宋体" w:eastAsia="宋体" w:cs="宋体"/>
          <w:b/>
          <w:bCs/>
          <w:color w:val="auto"/>
          <w:sz w:val="24"/>
        </w:rPr>
      </w:pPr>
      <w:bookmarkStart w:id="4" w:name="_Toc6167_WPSOffice_Level3"/>
      <w:r>
        <w:rPr>
          <w:rFonts w:hint="eastAsia" w:ascii="宋体" w:hAnsi="宋体" w:eastAsia="宋体" w:cs="宋体"/>
          <w:b/>
          <w:bCs/>
          <w:color w:val="auto"/>
          <w:sz w:val="24"/>
        </w:rPr>
        <w:t>2．2  分值构成与评分标准</w:t>
      </w:r>
      <w:bookmarkEnd w:id="4"/>
    </w:p>
    <w:p>
      <w:pPr>
        <w:spacing w:line="360" w:lineRule="auto"/>
        <w:ind w:firstLine="480"/>
        <w:rPr>
          <w:rFonts w:hint="eastAsia" w:ascii="宋体" w:hAnsi="宋体" w:eastAsia="宋体" w:cs="宋体"/>
          <w:b/>
          <w:bCs/>
          <w:color w:val="auto"/>
          <w:sz w:val="24"/>
        </w:rPr>
      </w:pPr>
      <w:r>
        <w:rPr>
          <w:rFonts w:hint="eastAsia" w:ascii="宋体" w:hAnsi="宋体" w:eastAsia="宋体" w:cs="宋体"/>
          <w:b/>
          <w:bCs/>
          <w:color w:val="auto"/>
          <w:sz w:val="24"/>
        </w:rPr>
        <w:t>2．2．1  分值构成</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评标价：见评标办法前附表。</w:t>
      </w:r>
    </w:p>
    <w:p>
      <w:pPr>
        <w:spacing w:line="360" w:lineRule="auto"/>
        <w:ind w:firstLine="480"/>
        <w:rPr>
          <w:rFonts w:hint="eastAsia" w:ascii="宋体" w:hAnsi="宋体" w:eastAsia="宋体" w:cs="宋体"/>
          <w:b/>
          <w:bCs/>
          <w:color w:val="auto"/>
          <w:sz w:val="24"/>
        </w:rPr>
      </w:pPr>
      <w:r>
        <w:rPr>
          <w:rFonts w:hint="eastAsia" w:ascii="宋体" w:hAnsi="宋体" w:eastAsia="宋体" w:cs="宋体"/>
          <w:b/>
          <w:bCs/>
          <w:color w:val="auto"/>
          <w:sz w:val="24"/>
        </w:rPr>
        <w:t>2．2．2  评标基准价计算</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评标基准价计算方法：见评标办法前附表。</w:t>
      </w:r>
    </w:p>
    <w:p>
      <w:pPr>
        <w:spacing w:line="360" w:lineRule="auto"/>
        <w:ind w:firstLine="480"/>
        <w:rPr>
          <w:rFonts w:hint="eastAsia" w:ascii="宋体" w:hAnsi="宋体" w:eastAsia="宋体" w:cs="宋体"/>
          <w:b/>
          <w:bCs/>
          <w:color w:val="auto"/>
          <w:sz w:val="24"/>
        </w:rPr>
      </w:pPr>
      <w:r>
        <w:rPr>
          <w:rFonts w:hint="eastAsia" w:ascii="宋体" w:hAnsi="宋体" w:eastAsia="宋体" w:cs="宋体"/>
          <w:b/>
          <w:bCs/>
          <w:color w:val="auto"/>
          <w:sz w:val="24"/>
        </w:rPr>
        <w:t>2．2．3  评标价价的偏差率计算</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评标价的偏差率计算公式：见评标办法前附表。</w:t>
      </w:r>
    </w:p>
    <w:p>
      <w:pPr>
        <w:spacing w:line="360" w:lineRule="auto"/>
        <w:ind w:firstLine="480"/>
        <w:rPr>
          <w:rFonts w:hint="eastAsia" w:ascii="宋体" w:hAnsi="宋体" w:eastAsia="宋体" w:cs="宋体"/>
          <w:b/>
          <w:bCs/>
          <w:color w:val="auto"/>
          <w:sz w:val="24"/>
        </w:rPr>
      </w:pPr>
      <w:r>
        <w:rPr>
          <w:rFonts w:hint="eastAsia" w:ascii="宋体" w:hAnsi="宋体" w:eastAsia="宋体" w:cs="宋体"/>
          <w:b/>
          <w:bCs/>
          <w:color w:val="auto"/>
          <w:sz w:val="24"/>
        </w:rPr>
        <w:t>2．2．4  评分标准</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评标价评分标准：见评标办法前附表。</w:t>
      </w:r>
    </w:p>
    <w:p>
      <w:pPr>
        <w:spacing w:line="360" w:lineRule="auto"/>
        <w:rPr>
          <w:rFonts w:hint="eastAsia" w:ascii="宋体" w:hAnsi="宋体" w:eastAsia="宋体" w:cs="宋体"/>
          <w:b/>
          <w:color w:val="auto"/>
          <w:sz w:val="28"/>
          <w:szCs w:val="28"/>
        </w:rPr>
      </w:pPr>
      <w:bookmarkStart w:id="5" w:name="_Toc29812_WPSOffice_Level2"/>
      <w:r>
        <w:rPr>
          <w:rFonts w:hint="eastAsia" w:ascii="宋体" w:hAnsi="宋体" w:eastAsia="宋体" w:cs="宋体"/>
          <w:b/>
          <w:color w:val="auto"/>
          <w:sz w:val="28"/>
          <w:szCs w:val="28"/>
        </w:rPr>
        <w:t>3．评标程序</w:t>
      </w:r>
      <w:bookmarkEnd w:id="5"/>
    </w:p>
    <w:p>
      <w:pPr>
        <w:spacing w:line="360" w:lineRule="auto"/>
        <w:ind w:firstLine="241" w:firstLineChars="100"/>
        <w:rPr>
          <w:rFonts w:hint="eastAsia" w:ascii="宋体" w:hAnsi="宋体" w:eastAsia="宋体" w:cs="宋体"/>
          <w:color w:val="auto"/>
          <w:sz w:val="24"/>
        </w:rPr>
      </w:pPr>
      <w:bookmarkStart w:id="6" w:name="_Toc1856_WPSOffice_Level3"/>
      <w:r>
        <w:rPr>
          <w:rFonts w:hint="eastAsia" w:ascii="宋体" w:hAnsi="宋体" w:eastAsia="宋体" w:cs="宋体"/>
          <w:b/>
          <w:bCs/>
          <w:color w:val="auto"/>
          <w:sz w:val="24"/>
        </w:rPr>
        <w:t>3．1 第一个信封初步评审</w:t>
      </w:r>
      <w:bookmarkEnd w:id="6"/>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3.1.1 评标委员会可以要求投标人提交第二章“投标人须知”第 3.5.1 项至第 3.5.6项规定的有关证明和证件的原件，以便核验。评标委员会依据本章第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spacing w:line="360" w:lineRule="auto"/>
        <w:ind w:firstLine="241" w:firstLineChars="100"/>
        <w:rPr>
          <w:rFonts w:hint="eastAsia" w:ascii="宋体" w:hAnsi="宋体" w:eastAsia="宋体" w:cs="宋体"/>
          <w:color w:val="auto"/>
          <w:sz w:val="24"/>
        </w:rPr>
      </w:pPr>
      <w:bookmarkStart w:id="7" w:name="_Toc23588_WPSOffice_Level3"/>
      <w:r>
        <w:rPr>
          <w:rFonts w:hint="eastAsia" w:ascii="宋体" w:hAnsi="宋体" w:eastAsia="宋体" w:cs="宋体"/>
          <w:b/>
          <w:bCs/>
          <w:color w:val="auto"/>
          <w:sz w:val="24"/>
        </w:rPr>
        <w:t>3.2 第二个信封开标</w:t>
      </w:r>
      <w:bookmarkEnd w:id="7"/>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第一个信封（商务及技术文件）评审结束后，招标人将按照第二章“投标人须知”第 5.1 款规定的时间和地点对通过投标文件第一个信封（商务及技术文件）评审的投标文件第二个信封（报价文件）进行开标。</w:t>
      </w:r>
    </w:p>
    <w:p>
      <w:pPr>
        <w:spacing w:line="360" w:lineRule="auto"/>
        <w:ind w:firstLine="241" w:firstLineChars="100"/>
        <w:rPr>
          <w:rFonts w:hint="eastAsia" w:ascii="宋体" w:hAnsi="宋体" w:eastAsia="宋体" w:cs="宋体"/>
          <w:color w:val="auto"/>
          <w:sz w:val="24"/>
        </w:rPr>
      </w:pPr>
      <w:bookmarkStart w:id="8" w:name="_Toc6862_WPSOffice_Level3"/>
      <w:r>
        <w:rPr>
          <w:rFonts w:hint="eastAsia" w:ascii="宋体" w:hAnsi="宋体" w:eastAsia="宋体" w:cs="宋体"/>
          <w:b/>
          <w:bCs/>
          <w:color w:val="auto"/>
          <w:sz w:val="24"/>
        </w:rPr>
        <w:t>3.3第二个信封初步评审</w:t>
      </w:r>
      <w:bookmarkEnd w:id="8"/>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3.3.1评标委员会依据本章第 2.1.1 项、第 2.1.3 项规定的评审标准对投标文件第二个信封（报价文件）进行初步评审。有一项不符合评审标准的，评标委员会应否决其投标。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3.3.2投标报价有算术错误的，评标委员会按以下原则对投标报价进行修正，修正的价格经投标人书面确认后具有约束力。投标人不接受修正价格的，评标委员会应否决其投标。</w:t>
      </w:r>
    </w:p>
    <w:p>
      <w:pPr>
        <w:numPr>
          <w:ilvl w:val="0"/>
          <w:numId w:val="1"/>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投标文件中的大写金额与小写金额不一致的，以大写金额为准；</w:t>
      </w:r>
    </w:p>
    <w:p>
      <w:pPr>
        <w:numPr>
          <w:ilvl w:val="0"/>
          <w:numId w:val="1"/>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总价金额与依据单价计算出的结果不一致的，以单价金额为准修正总价，但单价金额小数点有明显错误的除外；</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（3）当单价与数量相乘不等于合价时，以单价计算为准，如果单价有明显的小数点位置差错，应以标出的合价为准，同时对单价予以修正；</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（4）当各子目的合价累计不等于总价时，应以各子目合价累计数为准，修正总价。</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3.3.3 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（3）当单价与数量的乘积与合价（金额）虽然一致，但投标人修改了该子目的工程数量，则其合价按招标人给定的工程数量乘以投标人所报单价予以修正。</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3.3.4修正后的最终投标报价若超过最高投标限价（如有），评标委员会应否决其投标。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3.3.5修正后的最终投标报价仅作为签订合同的一个依据，不参与评标价得分的计算。</w:t>
      </w:r>
    </w:p>
    <w:p>
      <w:pPr>
        <w:spacing w:line="360" w:lineRule="auto"/>
        <w:ind w:firstLine="241" w:firstLineChars="100"/>
        <w:rPr>
          <w:rFonts w:hint="eastAsia" w:ascii="宋体" w:hAnsi="宋体" w:eastAsia="宋体" w:cs="宋体"/>
          <w:color w:val="auto"/>
          <w:sz w:val="24"/>
        </w:rPr>
      </w:pPr>
      <w:bookmarkStart w:id="9" w:name="_Toc31105_WPSOffice_Level3"/>
      <w:r>
        <w:rPr>
          <w:rFonts w:hint="eastAsia" w:ascii="宋体" w:hAnsi="宋体" w:eastAsia="宋体" w:cs="宋体"/>
          <w:b/>
          <w:bCs/>
          <w:color w:val="auto"/>
          <w:sz w:val="24"/>
        </w:rPr>
        <w:t>3.4第二个信封详细评审</w:t>
      </w:r>
      <w:bookmarkEnd w:id="9"/>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3.4.1评标委员会按本章第 2.2 款规定的量化因素和分值进行打分，并计算出综合评估得分（即评标价得分）。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3.4.2投标人得分分值计算保留小数点后两位，小数点后第三位“四舍五入”。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3.4.3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360" w:lineRule="auto"/>
        <w:ind w:firstLine="241" w:firstLineChars="100"/>
        <w:rPr>
          <w:rFonts w:hint="eastAsia" w:ascii="宋体" w:hAnsi="宋体" w:eastAsia="宋体" w:cs="宋体"/>
          <w:color w:val="auto"/>
          <w:sz w:val="24"/>
        </w:rPr>
      </w:pPr>
      <w:bookmarkStart w:id="10" w:name="_Toc21829_WPSOffice_Level3"/>
      <w:r>
        <w:rPr>
          <w:rFonts w:hint="eastAsia" w:ascii="宋体" w:hAnsi="宋体" w:eastAsia="宋体" w:cs="宋体"/>
          <w:b/>
          <w:bCs/>
          <w:color w:val="auto"/>
          <w:sz w:val="24"/>
        </w:rPr>
        <w:t>3.5投标文件相关信息的核查</w:t>
      </w:r>
      <w:bookmarkEnd w:id="10"/>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3.5.1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3.5.2评标委员会应对在评标过程中发现的投标人与投标人之间、投标人与招标人之间存在的串通投标的情形进行评审和认定。投标人存在串通投标、弄虚作假、行贿等违法行为的，评标委员会应否决其投标。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（1）有下列情形之一的，属于投标人相互串通投标：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a.投标人之间协商投标报价等投标文件的实质性内容；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b.投标人之间约定中标人；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c.投标人之间约定部分投标人放弃投标或中标；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d.属于同一集团、协会、商会等组织成员的投标人按照该组织要求协同投标；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e.投标人之间为谋取中标或排斥特定投标人而采取的其他联合行动。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（2）有下列情形之一的，视为投标人相互串通投标：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a.不同投标人的投标文件由同一单位或个人编制；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b.不同投标人委托同一单位或个人办理投标事宜；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c.不同投标人的投标文件载明的项目管理成员为同一人；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d.不同投标人的投标文件异常一致或投标报价呈规律性差异；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e.不同投标人的投标文件相互混装；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f.不同投标人的投标保证金从同一单位或个人的账户转出。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（3）有下列情形之一的，属于招标人与投标人串通投标：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a.招标人在开标前开启投标文件并将有关信息泄露给其他投标人;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b.招标人直接或间接向投标人泄露标底、评标委员会成员等信息；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c.招标人明示或暗示投标人压低或抬高投标报价；</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d.招标人授意投标人撤换、修改投标文件；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e.招标人明示或暗示投标人为特定投标人中标提供方便；</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f.招标人与投标人为谋求特定投标人中标而采取的其他串通行为。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（4）投标人有下列情形之一的，属于弄虚作假的行为：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a.使用通过受让或租借等方式获取的资格、资质证书投标；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b.使用伪造、变造的许可证件；c.提供虚假的财务状况或业绩；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d.提供虚假的项目负责人或主要技术人员简历、劳动关系证明；</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e.提供虚假的信用状况；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f.其他弄虚作假的行为。</w:t>
      </w:r>
    </w:p>
    <w:p>
      <w:pPr>
        <w:spacing w:line="360" w:lineRule="auto"/>
        <w:ind w:firstLine="241" w:firstLineChars="100"/>
        <w:rPr>
          <w:rFonts w:hint="eastAsia" w:ascii="宋体" w:hAnsi="宋体" w:eastAsia="宋体" w:cs="宋体"/>
          <w:color w:val="auto"/>
          <w:sz w:val="24"/>
        </w:rPr>
      </w:pPr>
      <w:bookmarkStart w:id="11" w:name="_Toc17044_WPSOffice_Level3"/>
      <w:r>
        <w:rPr>
          <w:rFonts w:hint="eastAsia" w:ascii="宋体" w:hAnsi="宋体" w:eastAsia="宋体" w:cs="宋体"/>
          <w:b/>
          <w:bCs/>
          <w:color w:val="auto"/>
          <w:sz w:val="24"/>
        </w:rPr>
        <w:t>3.6投标文件的澄清和说明</w:t>
      </w:r>
      <w:bookmarkEnd w:id="11"/>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3.6.1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3.6.2澄清和说明不得超出投标文件的范围或改变投标文件的实质性内容（算术性错误的修正除外）。投标人的书面澄清、说明属于投标文件的组成部分。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3.6.3评标委员会不得暗示或诱导投标人作出澄清、说明，对投标人提交的澄清、说明有疑问的，可以要求投标人进一步澄清或说明，直至满足评标委员会的要求。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3.6.4凡超出招标文件规定的或给发包人带来未曾要求的利益的变化、偏差或其他因素在评标时不予考虑。</w:t>
      </w:r>
    </w:p>
    <w:p>
      <w:pPr>
        <w:spacing w:line="360" w:lineRule="auto"/>
        <w:ind w:firstLine="241" w:firstLineChars="100"/>
        <w:rPr>
          <w:rFonts w:hint="eastAsia" w:ascii="宋体" w:hAnsi="宋体" w:eastAsia="宋体" w:cs="宋体"/>
          <w:color w:val="auto"/>
          <w:sz w:val="24"/>
        </w:rPr>
      </w:pPr>
      <w:bookmarkStart w:id="12" w:name="_Toc68_WPSOffice_Level3"/>
      <w:r>
        <w:rPr>
          <w:rFonts w:hint="eastAsia" w:ascii="宋体" w:hAnsi="宋体" w:eastAsia="宋体" w:cs="宋体"/>
          <w:b/>
          <w:bCs/>
          <w:color w:val="auto"/>
          <w:sz w:val="24"/>
        </w:rPr>
        <w:t>3.7 不得否决投标的情形</w:t>
      </w:r>
      <w:bookmarkEnd w:id="12"/>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投标文件存在第二章“投标人须知”第 1.12.3 项所列情形的，均视为细微偏差，评标委员会不得否决投标人的投标，应按照第二章“投标人须知”第 1.12.4 项规定的原则处理。</w:t>
      </w:r>
    </w:p>
    <w:p>
      <w:pPr>
        <w:spacing w:line="360" w:lineRule="auto"/>
        <w:ind w:firstLine="241" w:firstLineChars="100"/>
        <w:rPr>
          <w:rFonts w:hint="eastAsia" w:ascii="宋体" w:hAnsi="宋体" w:eastAsia="宋体" w:cs="宋体"/>
          <w:color w:val="auto"/>
          <w:sz w:val="24"/>
        </w:rPr>
      </w:pPr>
      <w:bookmarkStart w:id="13" w:name="_Toc24585_WPSOffice_Level3"/>
      <w:r>
        <w:rPr>
          <w:rFonts w:hint="eastAsia" w:ascii="宋体" w:hAnsi="宋体" w:eastAsia="宋体" w:cs="宋体"/>
          <w:b/>
          <w:bCs/>
          <w:color w:val="auto"/>
          <w:sz w:val="24"/>
        </w:rPr>
        <w:t>3.8评标结果</w:t>
      </w:r>
      <w:bookmarkEnd w:id="13"/>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3.8.1除第二章“投标人须知”前附表授权直接确定中标人外，评标委员会按照得分由高到低的顺序推荐中标候选人，并标明排序。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3.8.2评标委员会完成评标后，应向招标人提交书面评标报告。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6F260"/>
    <w:multiLevelType w:val="singleLevel"/>
    <w:tmpl w:val="5AC6F2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4BC0"/>
    <w:rsid w:val="004B715A"/>
    <w:rsid w:val="00B74BC0"/>
    <w:rsid w:val="64A1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cstheme="minorBidi"/>
      <w:color w:val="000000"/>
      <w:szCs w:val="22"/>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纯文本 Char"/>
    <w:basedOn w:val="5"/>
    <w:link w:val="2"/>
    <w:qFormat/>
    <w:uiPriority w:val="0"/>
    <w:rPr>
      <w:rFonts w:ascii="宋体" w:hAnsi="Courier New" w:eastAsia="宋体"/>
      <w:color w:val="000000"/>
    </w:rPr>
  </w:style>
  <w:style w:type="character" w:customStyle="1" w:styleId="10">
    <w:name w:val="纯文本 Char1"/>
    <w:basedOn w:val="5"/>
    <w:link w:val="2"/>
    <w:semiHidden/>
    <w:qFormat/>
    <w:uiPriority w:val="99"/>
    <w:rPr>
      <w:rFonts w:ascii="宋体" w:hAnsi="Courier New" w:eastAsia="宋体" w:cs="Courier New"/>
      <w:szCs w:val="21"/>
    </w:rPr>
  </w:style>
  <w:style w:type="paragraph" w:customStyle="1" w:styleId="11">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971</Words>
  <Characters>5541</Characters>
  <Lines>46</Lines>
  <Paragraphs>12</Paragraphs>
  <TotalTime>0</TotalTime>
  <ScaleCrop>false</ScaleCrop>
  <LinksUpToDate>false</LinksUpToDate>
  <CharactersWithSpaces>6500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2018-04-03T09:07:00Z</dcterms:created>
  <dc:creator>Windows 用户</dc:creator>
  <cp:lastModifiedBy>Administrator</cp:lastModifiedBy>
  <dcterms:modified xsi:type="dcterms:W3CDTF">2018-04-25T12:06:15Z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