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黑体"/>
          <w:sz w:val="36"/>
          <w:szCs w:val="36"/>
        </w:rPr>
      </w:pPr>
      <w:r>
        <w:rPr>
          <w:rFonts w:hint="eastAsia" w:ascii="黑体" w:hAnsi="宋体" w:eastAsia="黑体" w:cs="黑体"/>
          <w:sz w:val="36"/>
          <w:szCs w:val="36"/>
        </w:rPr>
        <w:t>第十师一八五团</w:t>
      </w:r>
      <w:r>
        <w:rPr>
          <w:rFonts w:hint="eastAsia" w:ascii="黑体" w:hAnsi="宋体" w:eastAsia="黑体" w:cs="黑体"/>
          <w:b/>
          <w:bCs/>
          <w:sz w:val="36"/>
          <w:szCs w:val="36"/>
        </w:rPr>
        <w:t>～</w:t>
      </w:r>
      <w:r>
        <w:rPr>
          <w:rFonts w:hint="eastAsia" w:ascii="黑体" w:hAnsi="宋体" w:eastAsia="黑体" w:cs="黑体"/>
          <w:sz w:val="36"/>
          <w:szCs w:val="36"/>
        </w:rPr>
        <w:t>一八六团红色旅游公路工程</w:t>
      </w:r>
    </w:p>
    <w:p>
      <w:pPr>
        <w:ind w:firstLine="540" w:firstLineChars="150"/>
        <w:jc w:val="center"/>
        <w:rPr>
          <w:rFonts w:ascii="黑体" w:hAnsi="宋体" w:eastAsia="黑体" w:cs="黑体"/>
          <w:sz w:val="36"/>
          <w:szCs w:val="36"/>
        </w:rPr>
      </w:pPr>
      <w:r>
        <w:rPr>
          <w:rFonts w:hint="eastAsia" w:ascii="黑体" w:hAnsi="宋体" w:eastAsia="黑体" w:cs="黑体"/>
          <w:sz w:val="36"/>
          <w:szCs w:val="36"/>
        </w:rPr>
        <w:t>施工、监理公告附件</w:t>
      </w:r>
    </w:p>
    <w:p/>
    <w:p>
      <w:pPr>
        <w:pStyle w:val="11"/>
        <w:numPr>
          <w:ilvl w:val="0"/>
          <w:numId w:val="1"/>
        </w:numPr>
        <w:ind w:firstLineChars="0"/>
        <w:rPr>
          <w:b/>
          <w:sz w:val="24"/>
        </w:rPr>
      </w:pPr>
      <w:r>
        <w:rPr>
          <w:rFonts w:hint="eastAsia"/>
          <w:b/>
          <w:sz w:val="24"/>
        </w:rPr>
        <w:t>施工资格审查</w:t>
      </w:r>
    </w:p>
    <w:p>
      <w:pPr>
        <w:pStyle w:val="2"/>
        <w:spacing w:before="240" w:after="240" w:line="240" w:lineRule="atLeast"/>
        <w:jc w:val="center"/>
      </w:pPr>
      <w:bookmarkStart w:id="0" w:name="_Toc234832863"/>
      <w:bookmarkStart w:id="1" w:name="_Toc524567775"/>
      <w:r>
        <w:rPr>
          <w:rFonts w:hint="eastAsia" w:ascii="黑体" w:eastAsia="黑体"/>
          <w:sz w:val="28"/>
          <w:szCs w:val="28"/>
        </w:rPr>
        <w:t>附录1  资格审查条件（资质最低要求）</w:t>
      </w:r>
      <w:bookmarkEnd w:id="0"/>
      <w:bookmarkEnd w:id="1"/>
    </w:p>
    <w:tbl>
      <w:tblPr>
        <w:tblStyle w:val="7"/>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8819" w:type="dxa"/>
            <w:vAlign w:val="center"/>
          </w:tcPr>
          <w:p>
            <w:pPr>
              <w:adjustRightInd w:val="0"/>
              <w:snapToGrid w:val="0"/>
              <w:spacing w:line="400" w:lineRule="atLeast"/>
              <w:jc w:val="center"/>
              <w:rPr>
                <w:szCs w:val="21"/>
              </w:rPr>
            </w:pPr>
            <w:r>
              <w:rPr>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3" w:hRule="atLeast"/>
          <w:jc w:val="center"/>
        </w:trPr>
        <w:tc>
          <w:tcPr>
            <w:tcW w:w="8819" w:type="dxa"/>
            <w:vAlign w:val="center"/>
          </w:tcPr>
          <w:p>
            <w:pPr>
              <w:tabs>
                <w:tab w:val="left" w:pos="5025"/>
              </w:tabs>
              <w:spacing w:line="400" w:lineRule="exact"/>
              <w:rPr>
                <w:rFonts w:ascii="宋体" w:hAnsi="宋体"/>
                <w:sz w:val="24"/>
              </w:rPr>
            </w:pPr>
            <w:r>
              <w:rPr>
                <w:rFonts w:hint="eastAsia" w:ascii="宋体" w:hAnsi="宋体"/>
                <w:sz w:val="24"/>
              </w:rPr>
              <w:t>同时具备：</w:t>
            </w:r>
          </w:p>
          <w:p>
            <w:pPr>
              <w:tabs>
                <w:tab w:val="left" w:pos="5025"/>
              </w:tabs>
              <w:spacing w:line="400" w:lineRule="exact"/>
              <w:rPr>
                <w:rFonts w:ascii="宋体" w:hAnsi="宋体"/>
                <w:sz w:val="24"/>
              </w:rPr>
            </w:pPr>
            <w:r>
              <w:rPr>
                <w:rFonts w:hint="eastAsia" w:ascii="宋体" w:hAnsi="宋体"/>
                <w:sz w:val="24"/>
              </w:rPr>
              <w:t>（1）具有独立法人资格，具备建设主管部门颁发的公路工程施工总承包三级及以上资质；</w:t>
            </w:r>
          </w:p>
          <w:p>
            <w:pPr>
              <w:tabs>
                <w:tab w:val="left" w:pos="5025"/>
              </w:tabs>
              <w:spacing w:line="400" w:lineRule="exact"/>
              <w:rPr>
                <w:rFonts w:ascii="宋体" w:hAnsi="宋体"/>
                <w:sz w:val="24"/>
              </w:rPr>
            </w:pPr>
            <w:r>
              <w:rPr>
                <w:rFonts w:hint="eastAsia" w:ascii="宋体" w:hAnsi="宋体"/>
                <w:sz w:val="24"/>
              </w:rPr>
              <w:t>（2）持有有效的安全生产许可证；</w:t>
            </w:r>
          </w:p>
          <w:p>
            <w:pPr>
              <w:spacing w:line="440" w:lineRule="exact"/>
              <w:rPr>
                <w:rFonts w:ascii="宋体" w:hAnsi="宋体" w:cs="宋体"/>
                <w:sz w:val="24"/>
              </w:rPr>
            </w:pPr>
            <w:r>
              <w:rPr>
                <w:rFonts w:hint="eastAsia" w:ascii="宋体" w:hAnsi="宋体"/>
                <w:sz w:val="24"/>
              </w:rPr>
              <w:t>（3）</w:t>
            </w:r>
            <w:r>
              <w:rPr>
                <w:rFonts w:hint="eastAsia" w:ascii="宋体" w:hAnsi="宋体" w:cs="宋体"/>
                <w:sz w:val="24"/>
              </w:rPr>
              <w:t>本次招标要求投标人应进入交通运输部“全国公路建设市场信用信息管理系统（http ：//glxy.mot.gov.cn）”中的公路工程施工及监理资质企业名录，且投标人名称和资质与该名录中的相应企业名称和资质完全一致；若不能满足《关于发布公路工程从业企业资质名录的通知》(厅公路字【2011】114号)要求的企业必须按兵交发[2012]28号文《兵团公路建设市场信用信息管理办法》的规定完成备案，在兵团交通局网站上注册，并将企业及人员信息录入《兵团公路建设市场信用信息系统》。</w:t>
            </w:r>
            <w:bookmarkStart w:id="21" w:name="_GoBack"/>
            <w:bookmarkEnd w:id="21"/>
          </w:p>
        </w:tc>
      </w:tr>
    </w:tbl>
    <w:p>
      <w:pPr>
        <w:adjustRightInd w:val="0"/>
        <w:snapToGrid w:val="0"/>
        <w:spacing w:line="300" w:lineRule="exact"/>
        <w:rPr>
          <w:rFonts w:eastAsia="隶书"/>
          <w:b/>
          <w:sz w:val="32"/>
        </w:rPr>
      </w:pPr>
    </w:p>
    <w:p>
      <w:pPr>
        <w:pStyle w:val="2"/>
        <w:spacing w:before="240" w:after="240" w:line="240" w:lineRule="atLeast"/>
        <w:jc w:val="center"/>
        <w:rPr>
          <w:rFonts w:ascii="黑体" w:eastAsia="黑体"/>
          <w:sz w:val="28"/>
          <w:szCs w:val="28"/>
        </w:rPr>
      </w:pPr>
      <w:bookmarkStart w:id="2" w:name="_Toc234832864"/>
      <w:bookmarkStart w:id="3" w:name="_Toc524567776"/>
      <w:r>
        <w:rPr>
          <w:rFonts w:ascii="黑体" w:eastAsia="黑体"/>
          <w:sz w:val="28"/>
          <w:szCs w:val="28"/>
        </w:rPr>
        <w:t>附录2  资格审查条件（财务最低要求</w:t>
      </w:r>
      <w:r>
        <w:rPr>
          <w:rFonts w:hint="eastAsia" w:ascii="黑体" w:eastAsia="黑体"/>
          <w:sz w:val="28"/>
          <w:szCs w:val="28"/>
        </w:rPr>
        <w:t>）</w:t>
      </w:r>
      <w:bookmarkEnd w:id="2"/>
      <w:bookmarkEnd w:id="3"/>
    </w:p>
    <w:tbl>
      <w:tblPr>
        <w:tblStyle w:val="7"/>
        <w:tblpPr w:leftFromText="180" w:rightFromText="180" w:vertAnchor="text" w:horzAnchor="page" w:tblpX="1726" w:tblpY="348"/>
        <w:tblOverlap w:val="never"/>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8816" w:type="dxa"/>
          </w:tcPr>
          <w:p>
            <w:pPr>
              <w:tabs>
                <w:tab w:val="left" w:pos="5025"/>
              </w:tabs>
              <w:jc w:val="center"/>
              <w:rPr>
                <w:color w:val="000000"/>
                <w:sz w:val="24"/>
              </w:rPr>
            </w:pPr>
            <w:r>
              <w:rPr>
                <w:rFonts w:hint="eastAsia"/>
                <w:color w:val="000000"/>
                <w:sz w:val="24"/>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8816" w:type="dxa"/>
          </w:tcPr>
          <w:p>
            <w:pPr>
              <w:tabs>
                <w:tab w:val="left" w:pos="5025"/>
              </w:tabs>
              <w:spacing w:line="400" w:lineRule="exact"/>
              <w:rPr>
                <w:sz w:val="24"/>
              </w:rPr>
            </w:pPr>
            <w:r>
              <w:rPr>
                <w:rFonts w:hint="eastAsia"/>
                <w:color w:val="000000"/>
                <w:sz w:val="24"/>
              </w:rPr>
              <w:t>（1）、投标人近三年（2015年至2017年）内年平均营业额不应</w:t>
            </w:r>
            <w:r>
              <w:rPr>
                <w:rFonts w:hint="eastAsia"/>
                <w:sz w:val="24"/>
              </w:rPr>
              <w:t>小于</w:t>
            </w:r>
            <w:r>
              <w:rPr>
                <w:sz w:val="24"/>
                <w:u w:val="single"/>
              </w:rPr>
              <w:t>3</w:t>
            </w:r>
            <w:r>
              <w:rPr>
                <w:rFonts w:hint="eastAsia"/>
                <w:sz w:val="24"/>
                <w:u w:val="single"/>
              </w:rPr>
              <w:t>000</w:t>
            </w:r>
            <w:r>
              <w:rPr>
                <w:rFonts w:hint="eastAsia"/>
                <w:sz w:val="24"/>
              </w:rPr>
              <w:t>万元人民币；</w:t>
            </w:r>
          </w:p>
          <w:p>
            <w:pPr>
              <w:spacing w:line="400" w:lineRule="exact"/>
              <w:rPr>
                <w:rFonts w:ascii="宋体" w:hAnsi="宋体" w:cs="Courier New"/>
                <w:color w:val="000000"/>
                <w:sz w:val="24"/>
                <w:szCs w:val="21"/>
              </w:rPr>
            </w:pPr>
            <w:r>
              <w:rPr>
                <w:rFonts w:hint="eastAsia" w:ascii="宋体" w:hAnsi="宋体" w:cs="Courier New"/>
                <w:color w:val="000000"/>
                <w:sz w:val="24"/>
                <w:szCs w:val="21"/>
                <w:lang w:bidi="ar"/>
              </w:rPr>
              <w:t xml:space="preserve">（2）、2015年至2107年的流动资产与流动负债的比率均不得小于1； </w:t>
            </w:r>
          </w:p>
        </w:tc>
      </w:tr>
    </w:tbl>
    <w:p>
      <w:pPr>
        <w:framePr w:hSpace="180" w:wrap="around" w:vAnchor="text" w:hAnchor="page" w:x="1727" w:y="349"/>
        <w:spacing w:line="400" w:lineRule="exact"/>
        <w:rPr>
          <w:rFonts w:ascii="宋体" w:hAnsi="宋体" w:cs="Courier New"/>
          <w:color w:val="000000"/>
          <w:sz w:val="24"/>
          <w:szCs w:val="21"/>
          <w:u w:val="single"/>
          <w:lang w:bidi="ar"/>
        </w:rPr>
      </w:pPr>
    </w:p>
    <w:p>
      <w:pPr>
        <w:tabs>
          <w:tab w:val="left" w:pos="5025"/>
        </w:tabs>
        <w:spacing w:line="500" w:lineRule="exact"/>
        <w:rPr>
          <w:color w:val="000000"/>
          <w:sz w:val="24"/>
        </w:rPr>
      </w:pPr>
      <w:r>
        <w:rPr>
          <w:rFonts w:hint="eastAsia"/>
          <w:color w:val="000000"/>
          <w:sz w:val="24"/>
        </w:rPr>
        <w:t>注：用于本合同段流动资金的财务强制性要求，投标人可采用以下任一方式提供：</w:t>
      </w:r>
    </w:p>
    <w:p>
      <w:pPr>
        <w:tabs>
          <w:tab w:val="left" w:pos="5025"/>
        </w:tabs>
        <w:spacing w:line="500" w:lineRule="exact"/>
        <w:rPr>
          <w:color w:val="000000"/>
          <w:sz w:val="24"/>
        </w:rPr>
      </w:pPr>
      <w:r>
        <w:rPr>
          <w:rFonts w:hint="eastAsia"/>
          <w:color w:val="000000"/>
          <w:sz w:val="24"/>
        </w:rPr>
        <w:t xml:space="preserve">a.银行信贷证明； </w:t>
      </w:r>
      <w:r>
        <w:rPr>
          <w:color w:val="000000"/>
          <w:sz w:val="24"/>
        </w:rPr>
        <w:t xml:space="preserve">  </w:t>
      </w:r>
      <w:r>
        <w:rPr>
          <w:rFonts w:hint="eastAsia"/>
          <w:color w:val="000000"/>
          <w:sz w:val="24"/>
        </w:rPr>
        <w:t xml:space="preserve">b.流动资金承诺函； </w:t>
      </w:r>
      <w:r>
        <w:rPr>
          <w:color w:val="000000"/>
          <w:sz w:val="24"/>
        </w:rPr>
        <w:t xml:space="preserve"> </w:t>
      </w:r>
      <w:r>
        <w:rPr>
          <w:rFonts w:hint="eastAsia"/>
          <w:color w:val="000000"/>
          <w:sz w:val="24"/>
        </w:rPr>
        <w:t>c.银行信贷证明+流动资金承诺函。</w:t>
      </w:r>
    </w:p>
    <w:p>
      <w:pPr>
        <w:tabs>
          <w:tab w:val="left" w:pos="5025"/>
        </w:tabs>
        <w:spacing w:line="500" w:lineRule="exact"/>
        <w:rPr>
          <w:color w:val="000000"/>
          <w:sz w:val="24"/>
        </w:rPr>
      </w:pPr>
      <w:r>
        <w:rPr>
          <w:rFonts w:hint="eastAsia"/>
          <w:color w:val="000000"/>
          <w:sz w:val="24"/>
        </w:rPr>
        <w:t>但上述任一方式提供的流动资金总额度不得小于本合同段要求财务资格审查条件所要求的资金额度。</w:t>
      </w:r>
    </w:p>
    <w:p>
      <w:pPr>
        <w:pStyle w:val="2"/>
        <w:spacing w:before="240" w:after="240" w:line="240" w:lineRule="atLeast"/>
        <w:jc w:val="center"/>
        <w:rPr>
          <w:rFonts w:ascii="黑体" w:eastAsia="黑体"/>
          <w:sz w:val="28"/>
          <w:szCs w:val="28"/>
        </w:rPr>
      </w:pPr>
      <w:r>
        <w:rPr>
          <w:rFonts w:eastAsia="黑体"/>
          <w:sz w:val="24"/>
        </w:rPr>
        <w:br w:type="page"/>
      </w:r>
      <w:bookmarkStart w:id="4" w:name="_Toc234832865"/>
      <w:bookmarkStart w:id="5" w:name="_Toc524567777"/>
      <w:r>
        <w:rPr>
          <w:rFonts w:ascii="黑体" w:eastAsia="黑体"/>
          <w:sz w:val="28"/>
          <w:szCs w:val="28"/>
        </w:rPr>
        <w:t xml:space="preserve">附录3 </w:t>
      </w:r>
      <w:r>
        <w:rPr>
          <w:rFonts w:hint="eastAsia" w:ascii="黑体" w:eastAsia="黑体"/>
          <w:sz w:val="28"/>
          <w:szCs w:val="28"/>
        </w:rPr>
        <w:t xml:space="preserve"> </w:t>
      </w:r>
      <w:r>
        <w:rPr>
          <w:rFonts w:ascii="黑体" w:eastAsia="黑体"/>
          <w:sz w:val="28"/>
          <w:szCs w:val="28"/>
        </w:rPr>
        <w:t>资格审查条件（业绩最低要求</w:t>
      </w:r>
      <w:r>
        <w:rPr>
          <w:rFonts w:hint="eastAsia" w:ascii="黑体" w:eastAsia="黑体"/>
          <w:sz w:val="28"/>
          <w:szCs w:val="28"/>
        </w:rPr>
        <w:t>）</w:t>
      </w:r>
      <w:bookmarkEnd w:id="4"/>
      <w:bookmarkEnd w:id="5"/>
    </w:p>
    <w:tbl>
      <w:tblPr>
        <w:tblStyle w:val="7"/>
        <w:tblpPr w:leftFromText="180" w:rightFromText="180" w:vertAnchor="text" w:horzAnchor="page" w:tblpX="1681" w:tblpY="330"/>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7" w:hRule="atLeast"/>
        </w:trPr>
        <w:tc>
          <w:tcPr>
            <w:tcW w:w="8522" w:type="dxa"/>
          </w:tcPr>
          <w:p>
            <w:pPr>
              <w:jc w:val="center"/>
              <w:rPr>
                <w:color w:val="000000"/>
                <w:sz w:val="24"/>
              </w:rPr>
            </w:pPr>
            <w:r>
              <w:rPr>
                <w:rFonts w:hint="eastAsia"/>
                <w:color w:val="000000"/>
                <w:sz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9" w:hRule="atLeast"/>
        </w:trPr>
        <w:tc>
          <w:tcPr>
            <w:tcW w:w="8522" w:type="dxa"/>
          </w:tcPr>
          <w:p>
            <w:pPr>
              <w:spacing w:line="400" w:lineRule="exact"/>
              <w:ind w:firstLine="480" w:firstLineChars="200"/>
              <w:rPr>
                <w:rFonts w:ascii="宋体" w:hAnsi="宋体" w:cs="宋体"/>
                <w:color w:val="000000"/>
                <w:sz w:val="24"/>
                <w:lang w:bidi="ar"/>
              </w:rPr>
            </w:pPr>
            <w:r>
              <w:rPr>
                <w:rFonts w:hint="eastAsia" w:cs="宋体"/>
                <w:color w:val="000000"/>
                <w:sz w:val="24"/>
                <w:lang w:bidi="ar"/>
              </w:rPr>
              <w:t>近三年内曾至少独立完成</w:t>
            </w:r>
            <w:r>
              <w:rPr>
                <w:color w:val="000000"/>
                <w:sz w:val="24"/>
                <w:u w:val="single"/>
                <w:lang w:bidi="ar"/>
              </w:rPr>
              <w:t xml:space="preserve"> 1 </w:t>
            </w:r>
            <w:r>
              <w:rPr>
                <w:rFonts w:hint="eastAsia" w:cs="宋体"/>
                <w:color w:val="000000"/>
                <w:sz w:val="24"/>
                <w:lang w:bidi="ar"/>
              </w:rPr>
              <w:t>条（含</w:t>
            </w:r>
            <w:r>
              <w:rPr>
                <w:color w:val="000000"/>
                <w:sz w:val="24"/>
                <w:u w:val="single"/>
                <w:lang w:bidi="ar"/>
              </w:rPr>
              <w:t xml:space="preserve"> 1 </w:t>
            </w:r>
            <w:r>
              <w:rPr>
                <w:rFonts w:hint="eastAsia" w:cs="宋体"/>
                <w:color w:val="000000"/>
                <w:sz w:val="24"/>
                <w:lang w:bidi="ar"/>
              </w:rPr>
              <w:t>条）单个合同段长度不小于</w:t>
            </w:r>
            <w:r>
              <w:rPr>
                <w:color w:val="000000"/>
                <w:sz w:val="24"/>
                <w:u w:val="single"/>
                <w:lang w:bidi="ar"/>
              </w:rPr>
              <w:t xml:space="preserve"> 5 </w:t>
            </w:r>
            <w:r>
              <w:rPr>
                <w:rFonts w:hint="eastAsia" w:ascii="宋体" w:hAnsi="宋体" w:cs="宋体"/>
                <w:color w:val="000000"/>
                <w:sz w:val="24"/>
                <w:lang w:bidi="ar"/>
              </w:rPr>
              <w:t>㎞</w:t>
            </w:r>
            <w:r>
              <w:rPr>
                <w:rFonts w:hint="eastAsia" w:ascii="宋体" w:hAnsi="宋体" w:cs="宋体"/>
                <w:color w:val="000000"/>
                <w:sz w:val="24"/>
                <w:u w:val="single"/>
                <w:lang w:bidi="ar"/>
              </w:rPr>
              <w:t xml:space="preserve"> 二 </w:t>
            </w:r>
            <w:r>
              <w:rPr>
                <w:rFonts w:hint="eastAsia" w:ascii="宋体" w:hAnsi="宋体" w:cs="宋体"/>
                <w:color w:val="000000"/>
                <w:sz w:val="24"/>
                <w:lang w:bidi="ar"/>
              </w:rPr>
              <w:t>级及以上等级公路项目的工程业绩。</w:t>
            </w:r>
          </w:p>
          <w:p>
            <w:pPr>
              <w:spacing w:line="400" w:lineRule="exact"/>
              <w:ind w:firstLine="352" w:firstLineChars="147"/>
              <w:rPr>
                <w:rFonts w:ascii="宋体" w:hAnsi="宋体"/>
                <w:b/>
                <w:color w:val="000000"/>
                <w:sz w:val="24"/>
              </w:rPr>
            </w:pPr>
            <w:r>
              <w:rPr>
                <w:rFonts w:hint="eastAsia" w:ascii="宋体" w:hAnsi="宋体"/>
                <w:color w:val="000000"/>
                <w:sz w:val="24"/>
              </w:rPr>
              <w:t>（上述业绩应要求投标人出具中标通知书或合同协议书或交(竣)工验收证书；母子公司的业绩不能相互使用；单位名称发生变更的如未提供有效的企业变更批件，则其业绩不予计算)</w:t>
            </w:r>
            <w:r>
              <w:rPr>
                <w:rFonts w:hint="eastAsia" w:ascii="宋体" w:hAnsi="宋体"/>
                <w:b/>
                <w:color w:val="000000"/>
                <w:sz w:val="24"/>
              </w:rPr>
              <w:t xml:space="preserve">   </w:t>
            </w:r>
          </w:p>
        </w:tc>
      </w:tr>
    </w:tbl>
    <w:p>
      <w:pPr>
        <w:spacing w:line="400" w:lineRule="exact"/>
        <w:rPr>
          <w:rFonts w:ascii="宋体" w:hAnsi="宋体"/>
          <w:sz w:val="24"/>
        </w:rPr>
      </w:pPr>
      <w:r>
        <w:rPr>
          <w:rFonts w:hint="eastAsia" w:ascii="宋体" w:hAnsi="宋体"/>
          <w:sz w:val="24"/>
        </w:rPr>
        <w:t>注：</w:t>
      </w:r>
    </w:p>
    <w:p>
      <w:pPr>
        <w:spacing w:line="400" w:lineRule="exact"/>
        <w:rPr>
          <w:rFonts w:ascii="宋体" w:hAnsi="宋体"/>
          <w:sz w:val="24"/>
        </w:rPr>
      </w:pPr>
      <w:r>
        <w:rPr>
          <w:rFonts w:hint="eastAsia" w:ascii="宋体" w:hAnsi="宋体"/>
          <w:sz w:val="24"/>
        </w:rPr>
        <w:t>1、“近三年”指2015年1月1日至投标截止时间之前，投标人业绩计算以项目交工时间为准（即交工时间应满足“近三年”的要求）；</w:t>
      </w:r>
    </w:p>
    <w:p>
      <w:pPr>
        <w:adjustRightInd w:val="0"/>
        <w:snapToGrid w:val="0"/>
        <w:spacing w:line="300" w:lineRule="exact"/>
        <w:rPr>
          <w:rFonts w:eastAsia="隶书"/>
          <w:b/>
          <w:sz w:val="32"/>
        </w:rPr>
      </w:pPr>
    </w:p>
    <w:p>
      <w:pPr>
        <w:adjustRightInd w:val="0"/>
        <w:snapToGrid w:val="0"/>
        <w:spacing w:line="300" w:lineRule="exact"/>
        <w:rPr>
          <w:rFonts w:eastAsia="隶书"/>
          <w:b/>
          <w:sz w:val="32"/>
        </w:rPr>
      </w:pPr>
    </w:p>
    <w:p>
      <w:pPr>
        <w:pStyle w:val="2"/>
        <w:spacing w:before="240" w:after="240" w:line="240" w:lineRule="atLeast"/>
        <w:jc w:val="center"/>
        <w:rPr>
          <w:rFonts w:ascii="黑体" w:eastAsia="黑体"/>
          <w:sz w:val="28"/>
          <w:szCs w:val="28"/>
        </w:rPr>
      </w:pPr>
      <w:bookmarkStart w:id="6" w:name="_Toc234832866"/>
      <w:bookmarkStart w:id="7" w:name="_Toc524567778"/>
      <w:r>
        <w:rPr>
          <w:rFonts w:ascii="黑体" w:eastAsia="黑体"/>
          <w:sz w:val="28"/>
          <w:szCs w:val="28"/>
        </w:rPr>
        <w:t>附录4  资格审查条件（信誉最低要求</w:t>
      </w:r>
      <w:r>
        <w:rPr>
          <w:rFonts w:hint="eastAsia" w:ascii="黑体" w:eastAsia="黑体"/>
          <w:sz w:val="28"/>
          <w:szCs w:val="28"/>
        </w:rPr>
        <w:t>）</w:t>
      </w:r>
      <w:bookmarkEnd w:id="6"/>
      <w:bookmarkEnd w:id="7"/>
    </w:p>
    <w:tbl>
      <w:tblPr>
        <w:tblStyle w:val="7"/>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jc w:val="center"/>
        </w:trPr>
        <w:tc>
          <w:tcPr>
            <w:tcW w:w="8819" w:type="dxa"/>
            <w:vAlign w:val="center"/>
          </w:tcPr>
          <w:p>
            <w:pPr>
              <w:adjustRightInd w:val="0"/>
              <w:snapToGrid w:val="0"/>
              <w:spacing w:line="400" w:lineRule="atLeast"/>
              <w:jc w:val="center"/>
              <w:rPr>
                <w:szCs w:val="21"/>
              </w:rPr>
            </w:pPr>
            <w:r>
              <w:rPr>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3" w:hRule="atLeast"/>
          <w:jc w:val="center"/>
        </w:trPr>
        <w:tc>
          <w:tcPr>
            <w:tcW w:w="8819" w:type="dxa"/>
            <w:vAlign w:val="center"/>
          </w:tcPr>
          <w:p>
            <w:pPr>
              <w:adjustRightInd w:val="0"/>
              <w:snapToGrid w:val="0"/>
              <w:spacing w:line="400" w:lineRule="atLeast"/>
              <w:jc w:val="left"/>
              <w:rPr>
                <w:szCs w:val="21"/>
              </w:rPr>
            </w:pPr>
            <w:r>
              <w:rPr>
                <w:rFonts w:hint="eastAsia"/>
                <w:szCs w:val="21"/>
              </w:rPr>
              <w:t>1．投标人未处于责令停业的行政处罚或正处于财务被冻结，破产状态；</w:t>
            </w:r>
          </w:p>
          <w:p>
            <w:pPr>
              <w:adjustRightInd w:val="0"/>
              <w:snapToGrid w:val="0"/>
              <w:spacing w:line="400" w:lineRule="atLeast"/>
              <w:jc w:val="left"/>
              <w:rPr>
                <w:szCs w:val="21"/>
              </w:rPr>
            </w:pPr>
            <w:r>
              <w:rPr>
                <w:rFonts w:hint="eastAsia"/>
                <w:szCs w:val="21"/>
              </w:rPr>
              <w:t>2．投标人未处于国家交通运输部、新疆自治区、兵团交通行政主管部门取消投标资格的行政处罚期；</w:t>
            </w:r>
          </w:p>
          <w:p>
            <w:pPr>
              <w:adjustRightInd w:val="0"/>
              <w:snapToGrid w:val="0"/>
              <w:spacing w:line="400" w:lineRule="atLeast"/>
              <w:jc w:val="left"/>
              <w:rPr>
                <w:b/>
                <w:szCs w:val="21"/>
              </w:rPr>
            </w:pPr>
            <w:r>
              <w:rPr>
                <w:rFonts w:hint="eastAsia"/>
                <w:szCs w:val="21"/>
              </w:rPr>
              <w:t>3．投标人没有涉及正在诉讼的案件，或涉及正在诉讼的案件但经评审委员会认定不会对承担项目造成重大影响；</w:t>
            </w:r>
          </w:p>
          <w:p>
            <w:pPr>
              <w:adjustRightInd w:val="0"/>
              <w:snapToGrid w:val="0"/>
              <w:spacing w:line="400" w:lineRule="atLeast"/>
              <w:jc w:val="left"/>
              <w:rPr>
                <w:szCs w:val="21"/>
              </w:rPr>
            </w:pPr>
            <w:r>
              <w:rPr>
                <w:rFonts w:hint="eastAsia"/>
                <w:szCs w:val="21"/>
              </w:rPr>
              <w:t>4．投标人按照要求提交</w:t>
            </w:r>
            <w:r>
              <w:rPr>
                <w:rFonts w:hint="eastAsia"/>
                <w:b/>
                <w:szCs w:val="21"/>
              </w:rPr>
              <w:t>省级</w:t>
            </w:r>
            <w:r>
              <w:rPr>
                <w:rFonts w:hint="eastAsia"/>
                <w:szCs w:val="21"/>
              </w:rPr>
              <w:t>或</w:t>
            </w:r>
            <w:r>
              <w:rPr>
                <w:rFonts w:hint="eastAsia"/>
                <w:b/>
                <w:szCs w:val="21"/>
              </w:rPr>
              <w:t>交通运输部</w:t>
            </w:r>
            <w:r>
              <w:rPr>
                <w:rFonts w:hint="eastAsia"/>
                <w:szCs w:val="21"/>
              </w:rPr>
              <w:t>上一年度信用评价证明(新成立的单位若无信用评价证明文件则可不提供）。</w:t>
            </w:r>
          </w:p>
          <w:p>
            <w:pPr>
              <w:adjustRightInd w:val="0"/>
              <w:snapToGrid w:val="0"/>
              <w:spacing w:line="400" w:lineRule="atLeast"/>
              <w:jc w:val="left"/>
              <w:rPr>
                <w:szCs w:val="21"/>
              </w:rPr>
            </w:pPr>
            <w:r>
              <w:rPr>
                <w:rFonts w:hint="eastAsia"/>
                <w:szCs w:val="21"/>
              </w:rPr>
              <w:t>5. 未在“信用中国”网站（http://www.creditchina.gov.cn/）中被列入失信被执行人名单。</w:t>
            </w:r>
          </w:p>
        </w:tc>
      </w:tr>
    </w:tbl>
    <w:p>
      <w:pPr>
        <w:adjustRightInd w:val="0"/>
        <w:snapToGrid w:val="0"/>
        <w:spacing w:line="300" w:lineRule="exact"/>
        <w:rPr>
          <w:rFonts w:eastAsia="隶书"/>
          <w:sz w:val="32"/>
        </w:rPr>
      </w:pPr>
    </w:p>
    <w:p>
      <w:pPr>
        <w:adjustRightInd w:val="0"/>
        <w:snapToGrid w:val="0"/>
        <w:spacing w:line="300" w:lineRule="auto"/>
        <w:rPr>
          <w:bCs/>
        </w:rPr>
      </w:pPr>
    </w:p>
    <w:p>
      <w:pPr>
        <w:adjustRightInd w:val="0"/>
        <w:snapToGrid w:val="0"/>
        <w:spacing w:line="300" w:lineRule="auto"/>
        <w:rPr>
          <w:bCs/>
        </w:rPr>
      </w:pPr>
    </w:p>
    <w:p>
      <w:pPr>
        <w:adjustRightInd w:val="0"/>
        <w:snapToGrid w:val="0"/>
        <w:spacing w:line="300" w:lineRule="auto"/>
        <w:rPr>
          <w:bCs/>
        </w:rPr>
      </w:pPr>
    </w:p>
    <w:p>
      <w:pPr>
        <w:adjustRightInd w:val="0"/>
        <w:snapToGrid w:val="0"/>
        <w:spacing w:line="300" w:lineRule="auto"/>
        <w:rPr>
          <w:bCs/>
        </w:rPr>
      </w:pPr>
    </w:p>
    <w:p>
      <w:pPr>
        <w:adjustRightInd w:val="0"/>
        <w:snapToGrid w:val="0"/>
        <w:spacing w:line="300" w:lineRule="auto"/>
        <w:rPr>
          <w:bCs/>
        </w:rPr>
      </w:pPr>
    </w:p>
    <w:p>
      <w:pPr>
        <w:adjustRightInd w:val="0"/>
        <w:snapToGrid w:val="0"/>
        <w:spacing w:line="300" w:lineRule="auto"/>
        <w:ind w:firstLine="964" w:firstLineChars="400"/>
        <w:jc w:val="center"/>
        <w:rPr>
          <w:rFonts w:eastAsia="黑体"/>
          <w:b/>
          <w:sz w:val="24"/>
        </w:rPr>
      </w:pPr>
    </w:p>
    <w:p>
      <w:pPr>
        <w:pStyle w:val="2"/>
        <w:spacing w:before="240" w:after="240" w:line="240" w:lineRule="atLeast"/>
        <w:jc w:val="center"/>
        <w:rPr>
          <w:rFonts w:ascii="黑体" w:eastAsia="黑体"/>
          <w:sz w:val="28"/>
          <w:szCs w:val="28"/>
        </w:rPr>
      </w:pPr>
      <w:bookmarkStart w:id="8" w:name="_Toc234832867"/>
      <w:bookmarkStart w:id="9" w:name="_Toc524567779"/>
      <w:r>
        <w:rPr>
          <w:rFonts w:ascii="黑体" w:eastAsia="黑体"/>
          <w:sz w:val="28"/>
          <w:szCs w:val="28"/>
        </w:rPr>
        <w:t>附录5  资格审查条件（项目经理和项目总工最低要求</w:t>
      </w:r>
      <w:r>
        <w:rPr>
          <w:rFonts w:hint="eastAsia" w:ascii="黑体" w:eastAsia="黑体"/>
          <w:sz w:val="28"/>
          <w:szCs w:val="28"/>
        </w:rPr>
        <w:t>）</w:t>
      </w:r>
      <w:bookmarkEnd w:id="8"/>
      <w:bookmarkEnd w:id="9"/>
    </w:p>
    <w:tbl>
      <w:tblPr>
        <w:tblStyle w:val="7"/>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564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71" w:type="dxa"/>
            <w:vAlign w:val="center"/>
          </w:tcPr>
          <w:p>
            <w:pPr>
              <w:adjustRightInd w:val="0"/>
              <w:snapToGrid w:val="0"/>
              <w:spacing w:line="300" w:lineRule="auto"/>
              <w:jc w:val="center"/>
              <w:rPr>
                <w:szCs w:val="21"/>
              </w:rPr>
            </w:pPr>
            <w:r>
              <w:rPr>
                <w:szCs w:val="21"/>
              </w:rPr>
              <w:t>人  员</w:t>
            </w:r>
          </w:p>
        </w:tc>
        <w:tc>
          <w:tcPr>
            <w:tcW w:w="1134" w:type="dxa"/>
            <w:vAlign w:val="center"/>
          </w:tcPr>
          <w:p>
            <w:pPr>
              <w:adjustRightInd w:val="0"/>
              <w:snapToGrid w:val="0"/>
              <w:spacing w:line="300" w:lineRule="auto"/>
              <w:jc w:val="center"/>
              <w:rPr>
                <w:szCs w:val="21"/>
              </w:rPr>
            </w:pPr>
            <w:r>
              <w:rPr>
                <w:szCs w:val="21"/>
              </w:rPr>
              <w:t>数  量</w:t>
            </w:r>
          </w:p>
        </w:tc>
        <w:tc>
          <w:tcPr>
            <w:tcW w:w="5641" w:type="dxa"/>
            <w:vAlign w:val="center"/>
          </w:tcPr>
          <w:p>
            <w:pPr>
              <w:adjustRightInd w:val="0"/>
              <w:snapToGrid w:val="0"/>
              <w:spacing w:line="300" w:lineRule="auto"/>
              <w:jc w:val="center"/>
              <w:rPr>
                <w:szCs w:val="21"/>
              </w:rPr>
            </w:pPr>
            <w:r>
              <w:rPr>
                <w:szCs w:val="21"/>
              </w:rPr>
              <w:t>资 格 要 求</w:t>
            </w:r>
          </w:p>
        </w:tc>
        <w:tc>
          <w:tcPr>
            <w:tcW w:w="958" w:type="dxa"/>
            <w:vAlign w:val="center"/>
          </w:tcPr>
          <w:p>
            <w:pPr>
              <w:adjustRightInd w:val="0"/>
              <w:snapToGrid w:val="0"/>
              <w:spacing w:line="300" w:lineRule="auto"/>
              <w:jc w:val="center"/>
              <w:rPr>
                <w:szCs w:val="21"/>
              </w:rPr>
            </w:pPr>
            <w:r>
              <w:rPr>
                <w:szCs w:val="21"/>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0" w:hRule="atLeast"/>
          <w:jc w:val="center"/>
        </w:trPr>
        <w:tc>
          <w:tcPr>
            <w:tcW w:w="1271" w:type="dxa"/>
            <w:vAlign w:val="center"/>
          </w:tcPr>
          <w:p>
            <w:pPr>
              <w:spacing w:line="300" w:lineRule="auto"/>
              <w:jc w:val="center"/>
              <w:rPr>
                <w:szCs w:val="21"/>
              </w:rPr>
            </w:pPr>
            <w:r>
              <w:rPr>
                <w:szCs w:val="21"/>
              </w:rPr>
              <w:t>项目经理</w:t>
            </w:r>
          </w:p>
        </w:tc>
        <w:tc>
          <w:tcPr>
            <w:tcW w:w="1134" w:type="dxa"/>
            <w:vAlign w:val="center"/>
          </w:tcPr>
          <w:p>
            <w:pPr>
              <w:adjustRightInd w:val="0"/>
              <w:snapToGrid w:val="0"/>
              <w:spacing w:line="300" w:lineRule="auto"/>
              <w:jc w:val="center"/>
              <w:rPr>
                <w:szCs w:val="21"/>
              </w:rPr>
            </w:pPr>
            <w:r>
              <w:rPr>
                <w:rFonts w:hint="eastAsia"/>
                <w:szCs w:val="21"/>
              </w:rPr>
              <w:t>1</w:t>
            </w:r>
          </w:p>
        </w:tc>
        <w:tc>
          <w:tcPr>
            <w:tcW w:w="5641" w:type="dxa"/>
            <w:vAlign w:val="center"/>
          </w:tcPr>
          <w:p>
            <w:pPr>
              <w:spacing w:line="400" w:lineRule="exact"/>
              <w:rPr>
                <w:rFonts w:ascii="宋体" w:hAnsi="宋体"/>
                <w:bCs/>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)具有公路工程相关专业</w:t>
            </w:r>
            <w:r>
              <w:rPr>
                <w:rFonts w:hint="eastAsia" w:ascii="宋体" w:hAnsi="宋体"/>
                <w:bCs/>
                <w:szCs w:val="21"/>
              </w:rPr>
              <w:t>工程师及以上职称；</w:t>
            </w:r>
          </w:p>
          <w:p>
            <w:pPr>
              <w:spacing w:line="400" w:lineRule="exact"/>
              <w:rPr>
                <w:rFonts w:ascii="宋体" w:hAnsi="宋体"/>
                <w:bCs/>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w:t>
            </w:r>
            <w:r>
              <w:rPr>
                <w:rFonts w:hint="eastAsia" w:ascii="宋体" w:hAnsi="宋体"/>
                <w:bCs/>
                <w:szCs w:val="21"/>
              </w:rPr>
              <w:t>持有住房和城乡建设部颁发的公路工程专业</w:t>
            </w:r>
            <w:r>
              <w:rPr>
                <w:rFonts w:hint="eastAsia" w:ascii="宋体" w:hAnsi="宋体"/>
                <w:bCs/>
                <w:szCs w:val="21"/>
                <w:lang w:val="en-US" w:eastAsia="zh-CN"/>
              </w:rPr>
              <w:t>二</w:t>
            </w:r>
            <w:r>
              <w:rPr>
                <w:rFonts w:hint="eastAsia" w:ascii="宋体" w:hAnsi="宋体"/>
                <w:bCs/>
                <w:szCs w:val="21"/>
              </w:rPr>
              <w:t>级建造师注册证书（或经延续注册的公路工程专业</w:t>
            </w:r>
            <w:r>
              <w:rPr>
                <w:rFonts w:hint="eastAsia" w:ascii="宋体" w:hAnsi="宋体"/>
                <w:bCs/>
                <w:szCs w:val="21"/>
                <w:lang w:val="en-US" w:eastAsia="zh-CN"/>
              </w:rPr>
              <w:t>二</w:t>
            </w:r>
            <w:r>
              <w:rPr>
                <w:rFonts w:hint="eastAsia" w:ascii="宋体" w:hAnsi="宋体"/>
                <w:bCs/>
                <w:szCs w:val="21"/>
              </w:rPr>
              <w:t>级建造师临时执业证书），注册单位必须与投标人名称一致；</w:t>
            </w:r>
          </w:p>
          <w:p>
            <w:pPr>
              <w:spacing w:line="400" w:lineRule="exact"/>
              <w:rPr>
                <w:rFonts w:ascii="宋体" w:hAnsi="宋体"/>
                <w:bCs/>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w:t>
            </w:r>
            <w:r>
              <w:rPr>
                <w:rFonts w:hint="eastAsia" w:ascii="宋体" w:hAnsi="宋体"/>
                <w:bCs/>
                <w:szCs w:val="21"/>
              </w:rPr>
              <w:t>持有有效的安全生产考核合格证书</w:t>
            </w:r>
            <w:r>
              <w:rPr>
                <w:rFonts w:ascii="宋体" w:hAnsi="宋体"/>
                <w:bCs/>
                <w:szCs w:val="21"/>
              </w:rPr>
              <w:t>(B</w:t>
            </w:r>
            <w:r>
              <w:rPr>
                <w:rFonts w:hint="eastAsia" w:ascii="宋体" w:hAnsi="宋体"/>
                <w:bCs/>
                <w:szCs w:val="21"/>
              </w:rPr>
              <w:t>类</w:t>
            </w:r>
            <w:r>
              <w:rPr>
                <w:rFonts w:ascii="宋体" w:hAnsi="宋体"/>
                <w:bCs/>
                <w:szCs w:val="21"/>
              </w:rPr>
              <w:t>)</w:t>
            </w:r>
            <w:r>
              <w:rPr>
                <w:rFonts w:hint="eastAsia" w:ascii="宋体" w:hAnsi="宋体"/>
                <w:bCs/>
                <w:szCs w:val="21"/>
              </w:rPr>
              <w:t>；</w:t>
            </w:r>
          </w:p>
          <w:p>
            <w:pPr>
              <w:adjustRightInd w:val="0"/>
              <w:snapToGrid w:val="0"/>
              <w:spacing w:line="300" w:lineRule="auto"/>
              <w:rPr>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)3年以上（含3年）公路工程施工经验，至少承担过1个二级及以上等级公路工程项目施工的项目经理。</w:t>
            </w:r>
          </w:p>
        </w:tc>
        <w:tc>
          <w:tcPr>
            <w:tcW w:w="958" w:type="dxa"/>
            <w:vMerge w:val="restart"/>
            <w:vAlign w:val="center"/>
          </w:tcPr>
          <w:p>
            <w:pPr>
              <w:adjustRightInd w:val="0"/>
              <w:snapToGrid w:val="0"/>
              <w:spacing w:line="300" w:lineRule="auto"/>
            </w:pPr>
            <w:r>
              <w:t xml:space="preserve">无在岗项目（指目前未在其他项目上任职） </w:t>
            </w:r>
          </w:p>
          <w:p>
            <w:pPr>
              <w:adjustRightInd w:val="0"/>
              <w:snapToGrid w:val="0"/>
              <w:spacing w:line="300" w:lineRule="auto"/>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1271" w:type="dxa"/>
            <w:vAlign w:val="center"/>
          </w:tcPr>
          <w:p>
            <w:pPr>
              <w:spacing w:line="300" w:lineRule="auto"/>
              <w:jc w:val="center"/>
              <w:rPr>
                <w:szCs w:val="21"/>
              </w:rPr>
            </w:pPr>
            <w:r>
              <w:rPr>
                <w:szCs w:val="21"/>
              </w:rPr>
              <w:t>项目总工</w:t>
            </w:r>
          </w:p>
        </w:tc>
        <w:tc>
          <w:tcPr>
            <w:tcW w:w="1134" w:type="dxa"/>
            <w:vAlign w:val="center"/>
          </w:tcPr>
          <w:p>
            <w:pPr>
              <w:adjustRightInd w:val="0"/>
              <w:snapToGrid w:val="0"/>
              <w:spacing w:line="300" w:lineRule="auto"/>
              <w:jc w:val="center"/>
              <w:rPr>
                <w:szCs w:val="21"/>
              </w:rPr>
            </w:pPr>
            <w:r>
              <w:rPr>
                <w:rFonts w:hint="eastAsia"/>
                <w:szCs w:val="21"/>
              </w:rPr>
              <w:t>1</w:t>
            </w:r>
          </w:p>
        </w:tc>
        <w:tc>
          <w:tcPr>
            <w:tcW w:w="5641" w:type="dxa"/>
            <w:vAlign w:val="center"/>
          </w:tcPr>
          <w:p>
            <w:pPr>
              <w:adjustRightInd w:val="0"/>
              <w:snapToGrid w:val="0"/>
              <w:spacing w:line="300" w:lineRule="auto"/>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)公路工程相关专业工程师及以上职称；</w:t>
            </w:r>
            <w:r>
              <w:rPr>
                <w:rFonts w:ascii="宋体" w:hAnsi="宋体"/>
                <w:color w:val="000000"/>
                <w:szCs w:val="21"/>
              </w:rPr>
              <w:t xml:space="preserve"> </w:t>
            </w:r>
          </w:p>
          <w:p>
            <w:pPr>
              <w:adjustRightInd w:val="0"/>
              <w:snapToGrid w:val="0"/>
              <w:spacing w:line="300" w:lineRule="auto"/>
              <w:rPr>
                <w:szCs w:val="21"/>
              </w:rPr>
            </w:pPr>
            <w:r>
              <w:rPr>
                <w:rFonts w:hint="eastAsia" w:ascii="宋体" w:hAnsi="宋体"/>
                <w:color w:val="000000"/>
                <w:szCs w:val="21"/>
              </w:rPr>
              <w:t>(2)3年以上(含3年)公路工程施工经验，至少承担过1个以上二级及以上等级公路工程项目施工的项目总工。</w:t>
            </w:r>
          </w:p>
        </w:tc>
        <w:tc>
          <w:tcPr>
            <w:tcW w:w="958" w:type="dxa"/>
            <w:vMerge w:val="continue"/>
            <w:vAlign w:val="center"/>
          </w:tcPr>
          <w:p>
            <w:pPr>
              <w:adjustRightInd w:val="0"/>
              <w:snapToGrid w:val="0"/>
              <w:spacing w:line="300" w:lineRule="auto"/>
              <w:rPr>
                <w:szCs w:val="21"/>
              </w:rPr>
            </w:pPr>
          </w:p>
        </w:tc>
      </w:tr>
    </w:tbl>
    <w:p>
      <w:pPr>
        <w:adjustRightInd w:val="0"/>
        <w:snapToGrid w:val="0"/>
        <w:spacing w:line="240" w:lineRule="exact"/>
        <w:rPr>
          <w:rFonts w:eastAsia="隶书"/>
          <w:b/>
          <w:bCs/>
          <w:sz w:val="32"/>
          <w:szCs w:val="32"/>
        </w:rPr>
      </w:pPr>
    </w:p>
    <w:p>
      <w:pPr>
        <w:adjustRightInd w:val="0"/>
        <w:snapToGrid w:val="0"/>
        <w:spacing w:line="300" w:lineRule="auto"/>
        <w:ind w:right="-512" w:rightChars="-244" w:firstLine="420" w:firstLineChars="200"/>
        <w:rPr>
          <w:iCs/>
          <w:szCs w:val="21"/>
        </w:rPr>
      </w:pPr>
      <w:r>
        <w:rPr>
          <w:rFonts w:hint="eastAsia"/>
          <w:iCs/>
          <w:szCs w:val="21"/>
        </w:rPr>
        <w:t>注：</w:t>
      </w:r>
    </w:p>
    <w:p>
      <w:pPr>
        <w:adjustRightInd w:val="0"/>
        <w:snapToGrid w:val="0"/>
        <w:spacing w:line="300" w:lineRule="auto"/>
        <w:ind w:right="-512" w:rightChars="-244" w:firstLine="420" w:firstLineChars="200"/>
        <w:rPr>
          <w:iCs/>
          <w:szCs w:val="21"/>
        </w:rPr>
      </w:pPr>
      <w:r>
        <w:rPr>
          <w:rFonts w:hint="eastAsia"/>
          <w:iCs/>
          <w:szCs w:val="21"/>
        </w:rPr>
        <w:t>1．本表所列人员为强制性人员，如上表人员缺少任何一项证件或资质不满足本表规定，均视为资格审查不通过。</w:t>
      </w:r>
    </w:p>
    <w:p>
      <w:pPr>
        <w:adjustRightInd w:val="0"/>
        <w:snapToGrid w:val="0"/>
        <w:spacing w:line="300" w:lineRule="auto"/>
        <w:ind w:right="-512" w:rightChars="-244" w:firstLine="420" w:firstLineChars="200"/>
        <w:rPr>
          <w:iCs/>
          <w:szCs w:val="21"/>
        </w:rPr>
      </w:pPr>
      <w:r>
        <w:rPr>
          <w:rFonts w:hint="eastAsia"/>
          <w:iCs/>
          <w:szCs w:val="21"/>
        </w:rPr>
        <w:t>2．需提供项目经理及项目总工的身份证、职称资格证书、注册建造师证书和执业印章的彩色复印件，</w:t>
      </w:r>
      <w:r>
        <w:rPr>
          <w:rFonts w:hint="eastAsia"/>
          <w:b/>
          <w:iCs/>
          <w:szCs w:val="21"/>
        </w:rPr>
        <w:t>并公证</w:t>
      </w:r>
      <w:r>
        <w:rPr>
          <w:rFonts w:hint="eastAsia"/>
          <w:iCs/>
          <w:szCs w:val="21"/>
        </w:rPr>
        <w:t>。</w:t>
      </w:r>
    </w:p>
    <w:p>
      <w:pPr>
        <w:adjustRightInd w:val="0"/>
        <w:snapToGrid w:val="0"/>
        <w:spacing w:line="300" w:lineRule="auto"/>
        <w:ind w:right="-512" w:rightChars="-244" w:firstLine="420" w:firstLineChars="200"/>
        <w:rPr>
          <w:iCs/>
          <w:szCs w:val="21"/>
        </w:rPr>
      </w:pPr>
      <w:r>
        <w:rPr>
          <w:rFonts w:hint="eastAsia"/>
          <w:iCs/>
          <w:szCs w:val="21"/>
        </w:rPr>
        <w:t>3．应附投标人所属社保机构出具的拟委任的项目经理和项目总工(以及备选人)的社保缴费证明原件(并加盖缴费证明专用章)或其他能够证明拟委任的项目经理参加社保的有效证明材料</w:t>
      </w:r>
      <w:r>
        <w:rPr>
          <w:rFonts w:hint="eastAsia"/>
          <w:b/>
          <w:iCs/>
          <w:szCs w:val="21"/>
        </w:rPr>
        <w:t>原件</w:t>
      </w:r>
      <w:r>
        <w:rPr>
          <w:rFonts w:hint="eastAsia"/>
          <w:iCs/>
          <w:szCs w:val="21"/>
        </w:rPr>
        <w:t>(并加盖社保机构单位章)。</w:t>
      </w:r>
    </w:p>
    <w:p>
      <w:pPr>
        <w:adjustRightInd w:val="0"/>
        <w:snapToGrid w:val="0"/>
        <w:spacing w:line="300" w:lineRule="auto"/>
        <w:ind w:right="-512" w:rightChars="-244" w:firstLine="420" w:firstLineChars="200"/>
        <w:rPr>
          <w:iCs/>
          <w:szCs w:val="21"/>
        </w:rPr>
      </w:pPr>
      <w:r>
        <w:rPr>
          <w:rFonts w:hint="eastAsia"/>
          <w:iCs/>
          <w:szCs w:val="21"/>
        </w:rPr>
        <w:t>4．以上人员必须在兵团公路建设市场信用信息系统备案。</w:t>
      </w:r>
    </w:p>
    <w:p>
      <w:pPr>
        <w:adjustRightInd w:val="0"/>
        <w:snapToGrid w:val="0"/>
        <w:spacing w:line="300" w:lineRule="auto"/>
        <w:ind w:right="-512" w:rightChars="-244" w:firstLine="420" w:firstLineChars="200"/>
        <w:rPr>
          <w:iCs/>
          <w:szCs w:val="21"/>
        </w:rPr>
      </w:pPr>
      <w:r>
        <w:rPr>
          <w:rFonts w:hint="eastAsia"/>
          <w:iCs/>
          <w:szCs w:val="21"/>
        </w:rPr>
        <w:t>5. 业绩资料需提供中标通知书或施工合同或业主出具的业绩证明材料（加盖业主公章）等的复印件，并注明有效查询电话。</w:t>
      </w:r>
    </w:p>
    <w:p>
      <w:pPr>
        <w:adjustRightInd w:val="0"/>
        <w:snapToGrid w:val="0"/>
        <w:spacing w:line="300" w:lineRule="auto"/>
        <w:ind w:right="-512" w:rightChars="-244" w:firstLine="420" w:firstLineChars="200"/>
        <w:rPr>
          <w:b/>
          <w:iCs/>
          <w:szCs w:val="21"/>
        </w:rPr>
      </w:pPr>
    </w:p>
    <w:p>
      <w:pPr>
        <w:pStyle w:val="2"/>
        <w:spacing w:before="240" w:after="240" w:line="240" w:lineRule="atLeast"/>
        <w:jc w:val="center"/>
        <w:rPr>
          <w:rFonts w:ascii="黑体" w:eastAsia="黑体"/>
          <w:sz w:val="28"/>
          <w:szCs w:val="28"/>
        </w:rPr>
      </w:pPr>
      <w:bookmarkStart w:id="10" w:name="_Toc234832868"/>
      <w:r>
        <w:rPr>
          <w:rFonts w:ascii="黑体" w:eastAsia="黑体"/>
          <w:sz w:val="28"/>
          <w:szCs w:val="28"/>
        </w:rPr>
        <w:br w:type="page"/>
      </w:r>
      <w:bookmarkStart w:id="11" w:name="_Toc524567780"/>
      <w:r>
        <w:rPr>
          <w:rFonts w:ascii="黑体" w:eastAsia="黑体"/>
          <w:sz w:val="28"/>
          <w:szCs w:val="28"/>
        </w:rPr>
        <w:t>附录6  资格审查条件（其他管理和技术人员最低要求）</w:t>
      </w:r>
      <w:bookmarkEnd w:id="10"/>
      <w:bookmarkEnd w:id="11"/>
    </w:p>
    <w:tbl>
      <w:tblPr>
        <w:tblStyle w:val="7"/>
        <w:tblW w:w="8639" w:type="dxa"/>
        <w:jc w:val="center"/>
        <w:tblInd w:w="0" w:type="dxa"/>
        <w:tblLayout w:type="fixed"/>
        <w:tblCellMar>
          <w:top w:w="0" w:type="dxa"/>
          <w:left w:w="108" w:type="dxa"/>
          <w:bottom w:w="0" w:type="dxa"/>
          <w:right w:w="108" w:type="dxa"/>
        </w:tblCellMar>
      </w:tblPr>
      <w:tblGrid>
        <w:gridCol w:w="1631"/>
        <w:gridCol w:w="1185"/>
        <w:gridCol w:w="5823"/>
      </w:tblGrid>
      <w:tr>
        <w:tblPrEx>
          <w:tblLayout w:type="fixed"/>
          <w:tblCellMar>
            <w:top w:w="0" w:type="dxa"/>
            <w:left w:w="108" w:type="dxa"/>
            <w:bottom w:w="0" w:type="dxa"/>
            <w:right w:w="108" w:type="dxa"/>
          </w:tblCellMar>
        </w:tblPrEx>
        <w:trPr>
          <w:trHeight w:val="87" w:hRule="atLeast"/>
          <w:jc w:val="center"/>
        </w:trPr>
        <w:tc>
          <w:tcPr>
            <w:tcW w:w="1631" w:type="dxa"/>
            <w:tcBorders>
              <w:top w:val="single" w:color="auto" w:sz="4" w:space="0"/>
              <w:left w:val="single" w:color="auto" w:sz="6" w:space="0"/>
              <w:bottom w:val="single" w:color="auto" w:sz="4" w:space="0"/>
              <w:right w:val="single" w:color="auto" w:sz="6" w:space="0"/>
            </w:tcBorders>
          </w:tcPr>
          <w:p>
            <w:pPr>
              <w:jc w:val="center"/>
              <w:rPr>
                <w:kern w:val="0"/>
                <w:sz w:val="24"/>
              </w:rPr>
            </w:pPr>
            <w:r>
              <w:rPr>
                <w:rFonts w:hint="eastAsia"/>
              </w:rPr>
              <w:t>人</w:t>
            </w:r>
            <w:r>
              <w:t xml:space="preserve">  员</w:t>
            </w:r>
          </w:p>
        </w:tc>
        <w:tc>
          <w:tcPr>
            <w:tcW w:w="1185" w:type="dxa"/>
            <w:tcBorders>
              <w:top w:val="single" w:color="auto" w:sz="4" w:space="0"/>
              <w:left w:val="single" w:color="auto" w:sz="6" w:space="0"/>
              <w:bottom w:val="single" w:color="auto" w:sz="4" w:space="0"/>
              <w:right w:val="single" w:color="auto" w:sz="6" w:space="0"/>
            </w:tcBorders>
          </w:tcPr>
          <w:p>
            <w:pPr>
              <w:jc w:val="center"/>
              <w:rPr>
                <w:kern w:val="0"/>
                <w:sz w:val="24"/>
              </w:rPr>
            </w:pPr>
            <w:r>
              <w:t>数  量</w:t>
            </w:r>
          </w:p>
        </w:tc>
        <w:tc>
          <w:tcPr>
            <w:tcW w:w="5823" w:type="dxa"/>
            <w:tcBorders>
              <w:top w:val="single" w:color="auto" w:sz="4" w:space="0"/>
              <w:left w:val="single" w:color="auto" w:sz="6" w:space="0"/>
              <w:bottom w:val="single" w:color="auto" w:sz="4" w:space="0"/>
              <w:right w:val="single" w:color="auto" w:sz="6" w:space="0"/>
            </w:tcBorders>
          </w:tcPr>
          <w:p>
            <w:pPr>
              <w:ind w:firstLine="420" w:firstLineChars="200"/>
              <w:rPr>
                <w:color w:val="000000"/>
                <w:sz w:val="24"/>
              </w:rPr>
            </w:pPr>
            <w:r>
              <w:t>资 格 要 求</w:t>
            </w:r>
          </w:p>
        </w:tc>
      </w:tr>
      <w:tr>
        <w:tblPrEx>
          <w:tblLayout w:type="fixed"/>
          <w:tblCellMar>
            <w:top w:w="0" w:type="dxa"/>
            <w:left w:w="108" w:type="dxa"/>
            <w:bottom w:w="0" w:type="dxa"/>
            <w:right w:w="108" w:type="dxa"/>
          </w:tblCellMar>
        </w:tblPrEx>
        <w:trPr>
          <w:trHeight w:val="1071" w:hRule="atLeast"/>
          <w:jc w:val="center"/>
        </w:trPr>
        <w:tc>
          <w:tcPr>
            <w:tcW w:w="1631" w:type="dxa"/>
            <w:tcBorders>
              <w:top w:val="single" w:color="auto" w:sz="4" w:space="0"/>
              <w:left w:val="single" w:color="auto" w:sz="6" w:space="0"/>
              <w:bottom w:val="single" w:color="auto" w:sz="6" w:space="0"/>
              <w:right w:val="single" w:color="auto" w:sz="6" w:space="0"/>
            </w:tcBorders>
            <w:vAlign w:val="center"/>
          </w:tcPr>
          <w:p>
            <w:pPr>
              <w:jc w:val="center"/>
              <w:rPr>
                <w:rFonts w:cs="宋体"/>
                <w:color w:val="000000"/>
                <w:sz w:val="24"/>
                <w:lang w:bidi="ar"/>
              </w:rPr>
            </w:pPr>
            <w:r>
              <w:rPr>
                <w:rFonts w:hint="eastAsia" w:cs="宋体"/>
                <w:color w:val="000000"/>
                <w:sz w:val="24"/>
                <w:lang w:bidi="ar"/>
              </w:rPr>
              <w:t>路基工程师</w:t>
            </w:r>
          </w:p>
        </w:tc>
        <w:tc>
          <w:tcPr>
            <w:tcW w:w="1185" w:type="dxa"/>
            <w:tcBorders>
              <w:top w:val="single" w:color="auto" w:sz="4" w:space="0"/>
              <w:left w:val="single" w:color="auto" w:sz="6" w:space="0"/>
              <w:bottom w:val="single" w:color="auto" w:sz="6" w:space="0"/>
              <w:right w:val="single" w:color="auto" w:sz="6" w:space="0"/>
            </w:tcBorders>
            <w:vAlign w:val="center"/>
          </w:tcPr>
          <w:p>
            <w:pPr>
              <w:jc w:val="center"/>
              <w:rPr>
                <w:rFonts w:cs="Arial"/>
                <w:color w:val="000000"/>
                <w:sz w:val="24"/>
                <w:lang w:bidi="ar"/>
              </w:rPr>
            </w:pPr>
            <w:r>
              <w:rPr>
                <w:rFonts w:cs="Arial"/>
                <w:color w:val="000000"/>
                <w:sz w:val="24"/>
                <w:lang w:bidi="ar"/>
              </w:rPr>
              <w:t>2</w:t>
            </w:r>
          </w:p>
        </w:tc>
        <w:tc>
          <w:tcPr>
            <w:tcW w:w="5823" w:type="dxa"/>
            <w:tcBorders>
              <w:top w:val="single" w:color="auto" w:sz="4" w:space="0"/>
              <w:left w:val="single" w:color="auto" w:sz="6" w:space="0"/>
              <w:bottom w:val="single" w:color="auto" w:sz="6" w:space="0"/>
              <w:right w:val="single" w:color="auto" w:sz="6" w:space="0"/>
            </w:tcBorders>
          </w:tcPr>
          <w:p>
            <w:pPr>
              <w:spacing w:line="300" w:lineRule="exact"/>
              <w:ind w:firstLine="480" w:firstLineChars="200"/>
              <w:rPr>
                <w:rFonts w:cs="宋体"/>
                <w:color w:val="000000"/>
                <w:sz w:val="24"/>
                <w:lang w:bidi="ar"/>
              </w:rPr>
            </w:pPr>
            <w:r>
              <w:rPr>
                <w:rFonts w:hint="eastAsia" w:cs="宋体"/>
                <w:color w:val="000000"/>
                <w:sz w:val="24"/>
                <w:lang w:bidi="ar"/>
              </w:rPr>
              <w:t>公路工程相关专业工程师（含）及以上职称，公路工程施工经验</w:t>
            </w:r>
            <w:r>
              <w:rPr>
                <w:rFonts w:cs="Arial"/>
                <w:color w:val="000000"/>
                <w:sz w:val="24"/>
                <w:lang w:bidi="ar"/>
              </w:rPr>
              <w:t xml:space="preserve"> 3 </w:t>
            </w:r>
            <w:r>
              <w:rPr>
                <w:rFonts w:hint="eastAsia" w:cs="宋体"/>
                <w:color w:val="000000"/>
                <w:sz w:val="24"/>
                <w:lang w:bidi="ar"/>
              </w:rPr>
              <w:t>年及以上，并参加类似公路土石方施工技术工作</w:t>
            </w:r>
            <w:r>
              <w:rPr>
                <w:rFonts w:cs="Arial"/>
                <w:color w:val="000000"/>
                <w:sz w:val="24"/>
                <w:lang w:bidi="ar"/>
              </w:rPr>
              <w:t>1</w:t>
            </w:r>
            <w:r>
              <w:rPr>
                <w:rFonts w:hint="eastAsia" w:cs="宋体"/>
                <w:color w:val="000000"/>
                <w:sz w:val="24"/>
                <w:lang w:bidi="ar"/>
              </w:rPr>
              <w:t>年以上</w:t>
            </w:r>
            <w:r>
              <w:rPr>
                <w:rFonts w:hint="eastAsia" w:ascii="宋体" w:hAnsi="宋体" w:cs="宋体"/>
                <w:szCs w:val="21"/>
                <w:lang w:bidi="ar"/>
              </w:rPr>
              <w:t>。</w:t>
            </w:r>
          </w:p>
        </w:tc>
      </w:tr>
      <w:tr>
        <w:tblPrEx>
          <w:tblLayout w:type="fixed"/>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6" w:space="0"/>
              <w:bottom w:val="single" w:color="auto" w:sz="6" w:space="0"/>
              <w:right w:val="single" w:color="auto" w:sz="6" w:space="0"/>
            </w:tcBorders>
            <w:vAlign w:val="center"/>
          </w:tcPr>
          <w:p>
            <w:pPr>
              <w:jc w:val="center"/>
              <w:rPr>
                <w:kern w:val="0"/>
                <w:sz w:val="24"/>
              </w:rPr>
            </w:pPr>
            <w:r>
              <w:rPr>
                <w:rFonts w:hint="eastAsia" w:cs="宋体"/>
                <w:color w:val="000000"/>
                <w:sz w:val="24"/>
                <w:lang w:bidi="ar"/>
              </w:rPr>
              <w:t>路面工程师</w:t>
            </w:r>
          </w:p>
        </w:tc>
        <w:tc>
          <w:tcPr>
            <w:tcW w:w="1185" w:type="dxa"/>
            <w:tcBorders>
              <w:top w:val="single" w:color="auto" w:sz="6" w:space="0"/>
              <w:left w:val="single" w:color="auto" w:sz="6" w:space="0"/>
              <w:bottom w:val="single" w:color="auto" w:sz="6" w:space="0"/>
              <w:right w:val="single" w:color="auto" w:sz="6" w:space="0"/>
            </w:tcBorders>
            <w:vAlign w:val="center"/>
          </w:tcPr>
          <w:p>
            <w:pPr>
              <w:jc w:val="center"/>
              <w:rPr>
                <w:kern w:val="0"/>
                <w:sz w:val="24"/>
              </w:rPr>
            </w:pPr>
            <w:r>
              <w:rPr>
                <w:rFonts w:cs="Arial"/>
                <w:color w:val="000000"/>
                <w:sz w:val="24"/>
                <w:lang w:bidi="ar"/>
              </w:rPr>
              <w:t>2</w:t>
            </w:r>
          </w:p>
        </w:tc>
        <w:tc>
          <w:tcPr>
            <w:tcW w:w="5823" w:type="dxa"/>
            <w:tcBorders>
              <w:top w:val="single" w:color="auto" w:sz="6" w:space="0"/>
              <w:left w:val="single" w:color="auto" w:sz="6" w:space="0"/>
              <w:bottom w:val="single" w:color="auto" w:sz="6" w:space="0"/>
              <w:right w:val="single" w:color="auto" w:sz="6" w:space="0"/>
            </w:tcBorders>
          </w:tcPr>
          <w:p>
            <w:pPr>
              <w:spacing w:line="300" w:lineRule="exact"/>
              <w:ind w:firstLine="480" w:firstLineChars="200"/>
              <w:rPr>
                <w:color w:val="000000"/>
                <w:sz w:val="24"/>
              </w:rPr>
            </w:pPr>
            <w:r>
              <w:rPr>
                <w:rFonts w:hint="eastAsia" w:cs="宋体"/>
                <w:color w:val="000000"/>
                <w:sz w:val="24"/>
                <w:lang w:bidi="ar"/>
              </w:rPr>
              <w:t>公路工程相关专业工程师（含）及以上职称，公路工程施工经验</w:t>
            </w:r>
            <w:r>
              <w:rPr>
                <w:rFonts w:cs="Arial"/>
                <w:color w:val="000000"/>
                <w:sz w:val="24"/>
                <w:lang w:bidi="ar"/>
              </w:rPr>
              <w:t xml:space="preserve"> 3 </w:t>
            </w:r>
            <w:r>
              <w:rPr>
                <w:rFonts w:hint="eastAsia" w:cs="宋体"/>
                <w:color w:val="000000"/>
                <w:sz w:val="24"/>
                <w:lang w:bidi="ar"/>
              </w:rPr>
              <w:t>年及以上，并参加类似公路路面施工技术工作</w:t>
            </w:r>
            <w:r>
              <w:rPr>
                <w:rFonts w:cs="Arial"/>
                <w:color w:val="000000"/>
                <w:sz w:val="24"/>
                <w:lang w:bidi="ar"/>
              </w:rPr>
              <w:t>1</w:t>
            </w:r>
            <w:r>
              <w:rPr>
                <w:rFonts w:hint="eastAsia" w:cs="宋体"/>
                <w:color w:val="000000"/>
                <w:sz w:val="24"/>
                <w:lang w:bidi="ar"/>
              </w:rPr>
              <w:t>年以上</w:t>
            </w:r>
            <w:r>
              <w:rPr>
                <w:rFonts w:hint="eastAsia" w:ascii="宋体" w:hAnsi="宋体" w:cs="宋体"/>
                <w:szCs w:val="21"/>
                <w:lang w:bidi="ar"/>
              </w:rPr>
              <w:t>。</w:t>
            </w:r>
          </w:p>
        </w:tc>
      </w:tr>
      <w:tr>
        <w:tblPrEx>
          <w:tblLayout w:type="fixed"/>
          <w:tblCellMar>
            <w:top w:w="0" w:type="dxa"/>
            <w:left w:w="108" w:type="dxa"/>
            <w:bottom w:w="0" w:type="dxa"/>
            <w:right w:w="108" w:type="dxa"/>
          </w:tblCellMar>
        </w:tblPrEx>
        <w:trPr>
          <w:trHeight w:val="714" w:hRule="atLeast"/>
          <w:jc w:val="center"/>
        </w:trPr>
        <w:tc>
          <w:tcPr>
            <w:tcW w:w="1631"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rPr>
            </w:pPr>
            <w:r>
              <w:rPr>
                <w:rFonts w:hint="eastAsia" w:cs="宋体"/>
                <w:color w:val="000000"/>
                <w:sz w:val="24"/>
                <w:lang w:bidi="ar"/>
              </w:rPr>
              <w:t>结构工程师</w:t>
            </w:r>
          </w:p>
        </w:tc>
        <w:tc>
          <w:tcPr>
            <w:tcW w:w="1185"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rPr>
            </w:pPr>
            <w:r>
              <w:rPr>
                <w:rFonts w:cs="Arial"/>
                <w:color w:val="000000"/>
                <w:sz w:val="24"/>
                <w:lang w:bidi="ar"/>
              </w:rPr>
              <w:t>2</w:t>
            </w:r>
          </w:p>
        </w:tc>
        <w:tc>
          <w:tcPr>
            <w:tcW w:w="5823" w:type="dxa"/>
            <w:tcBorders>
              <w:top w:val="single" w:color="auto" w:sz="6" w:space="0"/>
              <w:left w:val="single" w:color="auto" w:sz="6" w:space="0"/>
              <w:bottom w:val="single" w:color="auto" w:sz="6" w:space="0"/>
              <w:right w:val="single" w:color="auto" w:sz="6" w:space="0"/>
            </w:tcBorders>
          </w:tcPr>
          <w:p>
            <w:pPr>
              <w:spacing w:line="300" w:lineRule="exact"/>
              <w:ind w:firstLine="480" w:firstLineChars="200"/>
              <w:rPr>
                <w:sz w:val="24"/>
              </w:rPr>
            </w:pPr>
            <w:r>
              <w:rPr>
                <w:rFonts w:hint="eastAsia" w:cs="宋体"/>
                <w:sz w:val="24"/>
                <w:lang w:bidi="ar"/>
              </w:rPr>
              <w:t>公路工程相关专业工程师（含）及以上职称，公路工程施工经验</w:t>
            </w:r>
            <w:r>
              <w:rPr>
                <w:rFonts w:cs="Arial"/>
                <w:sz w:val="24"/>
                <w:lang w:bidi="ar"/>
              </w:rPr>
              <w:t xml:space="preserve"> 3</w:t>
            </w:r>
            <w:r>
              <w:rPr>
                <w:rFonts w:hint="eastAsia" w:cs="宋体"/>
                <w:sz w:val="24"/>
                <w:lang w:bidi="ar"/>
              </w:rPr>
              <w:t>年及以上，并负责公路工程桥涵工作</w:t>
            </w:r>
            <w:r>
              <w:rPr>
                <w:rFonts w:cs="Arial"/>
                <w:sz w:val="24"/>
                <w:lang w:bidi="ar"/>
              </w:rPr>
              <w:t>1</w:t>
            </w:r>
            <w:r>
              <w:rPr>
                <w:rFonts w:hint="eastAsia" w:cs="宋体"/>
                <w:sz w:val="24"/>
                <w:lang w:bidi="ar"/>
              </w:rPr>
              <w:t>年以上。</w:t>
            </w:r>
          </w:p>
        </w:tc>
      </w:tr>
      <w:tr>
        <w:tblPrEx>
          <w:tblLayout w:type="fixed"/>
          <w:tblCellMar>
            <w:top w:w="0" w:type="dxa"/>
            <w:left w:w="108" w:type="dxa"/>
            <w:bottom w:w="0" w:type="dxa"/>
            <w:right w:w="108" w:type="dxa"/>
          </w:tblCellMar>
        </w:tblPrEx>
        <w:trPr>
          <w:trHeight w:val="720" w:hRule="atLeast"/>
          <w:jc w:val="center"/>
        </w:trPr>
        <w:tc>
          <w:tcPr>
            <w:tcW w:w="1631"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rPr>
            </w:pPr>
            <w:r>
              <w:rPr>
                <w:rFonts w:hint="eastAsia" w:cs="宋体"/>
                <w:color w:val="000000"/>
                <w:sz w:val="24"/>
                <w:lang w:bidi="ar"/>
              </w:rPr>
              <w:t>试验工程师</w:t>
            </w:r>
          </w:p>
        </w:tc>
        <w:tc>
          <w:tcPr>
            <w:tcW w:w="1185"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rPr>
            </w:pPr>
            <w:r>
              <w:rPr>
                <w:rFonts w:cs="Arial"/>
                <w:color w:val="000000"/>
                <w:sz w:val="24"/>
                <w:lang w:bidi="ar"/>
              </w:rPr>
              <w:t>2</w:t>
            </w:r>
          </w:p>
        </w:tc>
        <w:tc>
          <w:tcPr>
            <w:tcW w:w="5823" w:type="dxa"/>
            <w:tcBorders>
              <w:top w:val="single" w:color="auto" w:sz="6" w:space="0"/>
              <w:left w:val="single" w:color="auto" w:sz="6" w:space="0"/>
              <w:bottom w:val="single" w:color="auto" w:sz="6" w:space="0"/>
              <w:right w:val="single" w:color="auto" w:sz="6" w:space="0"/>
            </w:tcBorders>
          </w:tcPr>
          <w:p>
            <w:pPr>
              <w:spacing w:line="300" w:lineRule="exact"/>
              <w:ind w:firstLine="480" w:firstLineChars="200"/>
              <w:rPr>
                <w:sz w:val="24"/>
              </w:rPr>
            </w:pPr>
            <w:r>
              <w:rPr>
                <w:rFonts w:hint="eastAsia" w:cs="宋体"/>
                <w:sz w:val="24"/>
                <w:lang w:bidi="ar"/>
              </w:rPr>
              <w:t>公路工程相关专业工程师（含）及以上职称，公路工程施工经验</w:t>
            </w:r>
            <w:r>
              <w:rPr>
                <w:rFonts w:cs="Arial"/>
                <w:sz w:val="24"/>
                <w:lang w:bidi="ar"/>
              </w:rPr>
              <w:t xml:space="preserve"> 3 </w:t>
            </w:r>
            <w:r>
              <w:rPr>
                <w:rFonts w:hint="eastAsia" w:cs="宋体"/>
                <w:sz w:val="24"/>
                <w:lang w:bidi="ar"/>
              </w:rPr>
              <w:t>年及以上，负责公路工程材料试验工作</w:t>
            </w:r>
            <w:r>
              <w:rPr>
                <w:rFonts w:cs="Arial"/>
                <w:sz w:val="24"/>
                <w:lang w:bidi="ar"/>
              </w:rPr>
              <w:t xml:space="preserve"> 1 </w:t>
            </w:r>
            <w:r>
              <w:rPr>
                <w:rFonts w:hint="eastAsia" w:cs="宋体"/>
                <w:sz w:val="24"/>
                <w:lang w:bidi="ar"/>
              </w:rPr>
              <w:t>年以上，并具有交通主管部门颁发的公路工程试验工程师资格证书。</w:t>
            </w:r>
          </w:p>
        </w:tc>
      </w:tr>
      <w:tr>
        <w:tblPrEx>
          <w:tblLayout w:type="fixed"/>
          <w:tblCellMar>
            <w:top w:w="0" w:type="dxa"/>
            <w:left w:w="108" w:type="dxa"/>
            <w:bottom w:w="0" w:type="dxa"/>
            <w:right w:w="108" w:type="dxa"/>
          </w:tblCellMar>
        </w:tblPrEx>
        <w:trPr>
          <w:trHeight w:val="720" w:hRule="atLeast"/>
          <w:jc w:val="center"/>
        </w:trPr>
        <w:tc>
          <w:tcPr>
            <w:tcW w:w="1631"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rPr>
            </w:pPr>
            <w:r>
              <w:rPr>
                <w:rFonts w:hint="eastAsia" w:cs="宋体"/>
                <w:color w:val="000000"/>
                <w:sz w:val="24"/>
                <w:lang w:bidi="ar"/>
              </w:rPr>
              <w:t>计量工程师</w:t>
            </w:r>
          </w:p>
        </w:tc>
        <w:tc>
          <w:tcPr>
            <w:tcW w:w="1185" w:type="dxa"/>
            <w:tcBorders>
              <w:top w:val="single" w:color="auto" w:sz="6" w:space="0"/>
              <w:left w:val="single" w:color="auto" w:sz="6" w:space="0"/>
              <w:bottom w:val="single" w:color="auto" w:sz="6" w:space="0"/>
              <w:right w:val="single" w:color="auto" w:sz="6" w:space="0"/>
            </w:tcBorders>
            <w:vAlign w:val="center"/>
          </w:tcPr>
          <w:p>
            <w:pPr>
              <w:jc w:val="center"/>
              <w:rPr>
                <w:color w:val="000000"/>
                <w:sz w:val="24"/>
              </w:rPr>
            </w:pPr>
            <w:r>
              <w:rPr>
                <w:rFonts w:cs="Arial"/>
                <w:color w:val="000000"/>
                <w:sz w:val="24"/>
                <w:lang w:bidi="ar"/>
              </w:rPr>
              <w:t>1</w:t>
            </w:r>
          </w:p>
        </w:tc>
        <w:tc>
          <w:tcPr>
            <w:tcW w:w="5823" w:type="dxa"/>
            <w:tcBorders>
              <w:top w:val="single" w:color="auto" w:sz="6" w:space="0"/>
              <w:left w:val="single" w:color="auto" w:sz="6" w:space="0"/>
              <w:bottom w:val="single" w:color="auto" w:sz="6" w:space="0"/>
              <w:right w:val="single" w:color="auto" w:sz="6" w:space="0"/>
            </w:tcBorders>
          </w:tcPr>
          <w:p>
            <w:pPr>
              <w:spacing w:line="300" w:lineRule="exact"/>
              <w:ind w:firstLine="480" w:firstLineChars="200"/>
              <w:rPr>
                <w:sz w:val="24"/>
              </w:rPr>
            </w:pPr>
            <w:r>
              <w:rPr>
                <w:rFonts w:hint="eastAsia" w:cs="宋体"/>
                <w:sz w:val="24"/>
                <w:lang w:bidi="ar"/>
              </w:rPr>
              <w:t>公路工程相关专业工程师（含）及以上职称，公路工程合同计量工作经验</w:t>
            </w:r>
            <w:r>
              <w:rPr>
                <w:rFonts w:cs="Arial"/>
                <w:sz w:val="24"/>
                <w:lang w:bidi="ar"/>
              </w:rPr>
              <w:t xml:space="preserve"> 3 </w:t>
            </w:r>
            <w:r>
              <w:rPr>
                <w:rFonts w:hint="eastAsia" w:cs="宋体"/>
                <w:sz w:val="24"/>
                <w:lang w:bidi="ar"/>
              </w:rPr>
              <w:t>年及以上，负责公路工程合同计量工作</w:t>
            </w:r>
            <w:r>
              <w:rPr>
                <w:rFonts w:cs="Arial"/>
                <w:sz w:val="24"/>
                <w:lang w:bidi="ar"/>
              </w:rPr>
              <w:t xml:space="preserve"> 1 </w:t>
            </w:r>
            <w:r>
              <w:rPr>
                <w:rFonts w:hint="eastAsia" w:cs="宋体"/>
                <w:sz w:val="24"/>
                <w:lang w:bidi="ar"/>
              </w:rPr>
              <w:t>年以上。</w:t>
            </w:r>
          </w:p>
        </w:tc>
      </w:tr>
      <w:tr>
        <w:tblPrEx>
          <w:tblLayout w:type="fixed"/>
          <w:tblCellMar>
            <w:top w:w="0" w:type="dxa"/>
            <w:left w:w="108" w:type="dxa"/>
            <w:bottom w:w="0" w:type="dxa"/>
            <w:right w:w="108" w:type="dxa"/>
          </w:tblCellMar>
        </w:tblPrEx>
        <w:trPr>
          <w:trHeight w:val="1400" w:hRule="atLeast"/>
          <w:jc w:val="center"/>
        </w:trPr>
        <w:tc>
          <w:tcPr>
            <w:tcW w:w="1631" w:type="dxa"/>
            <w:tcBorders>
              <w:top w:val="single" w:color="auto" w:sz="6" w:space="0"/>
              <w:left w:val="single" w:color="auto" w:sz="6" w:space="0"/>
              <w:bottom w:val="single" w:color="auto" w:sz="6" w:space="0"/>
              <w:right w:val="single" w:color="auto" w:sz="6" w:space="0"/>
            </w:tcBorders>
            <w:vAlign w:val="center"/>
          </w:tcPr>
          <w:p>
            <w:pPr>
              <w:rPr>
                <w:color w:val="000000"/>
                <w:sz w:val="24"/>
              </w:rPr>
            </w:pPr>
            <w:r>
              <w:rPr>
                <w:rFonts w:hint="eastAsia" w:cs="宋体"/>
                <w:color w:val="000000"/>
                <w:sz w:val="24"/>
                <w:lang w:bidi="ar"/>
              </w:rPr>
              <w:t>专职安全员</w:t>
            </w:r>
          </w:p>
        </w:tc>
        <w:tc>
          <w:tcPr>
            <w:tcW w:w="1185" w:type="dxa"/>
            <w:tcBorders>
              <w:top w:val="single" w:color="auto" w:sz="6" w:space="0"/>
              <w:left w:val="single" w:color="auto" w:sz="6" w:space="0"/>
              <w:bottom w:val="single" w:color="auto" w:sz="6" w:space="0"/>
              <w:right w:val="single" w:color="auto" w:sz="6" w:space="0"/>
            </w:tcBorders>
            <w:vAlign w:val="center"/>
          </w:tcPr>
          <w:p>
            <w:pPr>
              <w:ind w:firstLine="480" w:firstLineChars="200"/>
              <w:rPr>
                <w:color w:val="000000"/>
                <w:sz w:val="24"/>
              </w:rPr>
            </w:pPr>
            <w:r>
              <w:rPr>
                <w:rFonts w:cs="Arial"/>
                <w:color w:val="000000"/>
                <w:sz w:val="24"/>
                <w:lang w:bidi="ar"/>
              </w:rPr>
              <w:t>1</w:t>
            </w:r>
          </w:p>
        </w:tc>
        <w:tc>
          <w:tcPr>
            <w:tcW w:w="5823"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color w:val="000000"/>
                <w:sz w:val="24"/>
              </w:rPr>
            </w:pPr>
            <w:r>
              <w:rPr>
                <w:rFonts w:hint="eastAsia" w:cs="宋体"/>
                <w:color w:val="000000"/>
                <w:sz w:val="24"/>
                <w:lang w:bidi="ar"/>
              </w:rPr>
              <w:t>公路工程助理工程师（含）及以上职称，并具有交通主管部门颁发的公路工程专职安全员</w:t>
            </w:r>
            <w:r>
              <w:rPr>
                <w:rFonts w:cs="Arial"/>
                <w:color w:val="000000"/>
                <w:sz w:val="24"/>
                <w:lang w:bidi="ar"/>
              </w:rPr>
              <w:t>C</w:t>
            </w:r>
            <w:r>
              <w:rPr>
                <w:rFonts w:hint="eastAsia" w:cs="宋体"/>
                <w:color w:val="000000"/>
                <w:sz w:val="24"/>
                <w:lang w:bidi="ar"/>
              </w:rPr>
              <w:t>类（含</w:t>
            </w:r>
            <w:r>
              <w:rPr>
                <w:rFonts w:cs="Arial"/>
                <w:color w:val="000000"/>
                <w:sz w:val="24"/>
                <w:lang w:bidi="ar"/>
              </w:rPr>
              <w:t>C</w:t>
            </w:r>
            <w:r>
              <w:rPr>
                <w:rFonts w:hint="eastAsia" w:cs="宋体"/>
                <w:color w:val="000000"/>
                <w:sz w:val="24"/>
                <w:lang w:bidi="ar"/>
              </w:rPr>
              <w:t>类）及以上资格证书，公路工程施工经验</w:t>
            </w:r>
            <w:r>
              <w:rPr>
                <w:rFonts w:cs="Arial"/>
                <w:color w:val="000000"/>
                <w:sz w:val="24"/>
                <w:lang w:bidi="ar"/>
              </w:rPr>
              <w:t xml:space="preserve"> 3 </w:t>
            </w:r>
            <w:r>
              <w:rPr>
                <w:rFonts w:hint="eastAsia" w:cs="宋体"/>
                <w:color w:val="000000"/>
                <w:sz w:val="24"/>
                <w:lang w:bidi="ar"/>
              </w:rPr>
              <w:t>年及以上，类似公路工程施工安全管理工作</w:t>
            </w:r>
            <w:r>
              <w:rPr>
                <w:rFonts w:cs="Arial"/>
                <w:color w:val="000000"/>
                <w:sz w:val="24"/>
                <w:lang w:bidi="ar"/>
              </w:rPr>
              <w:t xml:space="preserve"> 1</w:t>
            </w:r>
            <w:r>
              <w:rPr>
                <w:rFonts w:hint="eastAsia" w:cs="宋体"/>
                <w:color w:val="000000"/>
                <w:sz w:val="24"/>
                <w:lang w:bidi="ar"/>
              </w:rPr>
              <w:t>年以上。</w:t>
            </w:r>
          </w:p>
        </w:tc>
      </w:tr>
      <w:tr>
        <w:tblPrEx>
          <w:tblLayout w:type="fixed"/>
          <w:tblCellMar>
            <w:top w:w="0" w:type="dxa"/>
            <w:left w:w="108" w:type="dxa"/>
            <w:bottom w:w="0" w:type="dxa"/>
            <w:right w:w="108" w:type="dxa"/>
          </w:tblCellMar>
        </w:tblPrEx>
        <w:trPr>
          <w:trHeight w:val="534" w:hRule="atLeast"/>
          <w:jc w:val="center"/>
        </w:trPr>
        <w:tc>
          <w:tcPr>
            <w:tcW w:w="1631" w:type="dxa"/>
            <w:tcBorders>
              <w:top w:val="single" w:color="auto" w:sz="6" w:space="0"/>
              <w:left w:val="single" w:color="auto" w:sz="6" w:space="0"/>
              <w:bottom w:val="single" w:color="auto" w:sz="6" w:space="0"/>
              <w:right w:val="single" w:color="auto" w:sz="6" w:space="0"/>
            </w:tcBorders>
            <w:vAlign w:val="center"/>
          </w:tcPr>
          <w:p>
            <w:pPr>
              <w:rPr>
                <w:color w:val="000000"/>
                <w:sz w:val="24"/>
              </w:rPr>
            </w:pPr>
            <w:r>
              <w:rPr>
                <w:rFonts w:hint="eastAsia" w:cs="宋体"/>
                <w:color w:val="000000"/>
                <w:sz w:val="24"/>
                <w:lang w:bidi="ar"/>
              </w:rPr>
              <w:t>财务负责人</w:t>
            </w:r>
          </w:p>
        </w:tc>
        <w:tc>
          <w:tcPr>
            <w:tcW w:w="1185" w:type="dxa"/>
            <w:tcBorders>
              <w:top w:val="single" w:color="auto" w:sz="6" w:space="0"/>
              <w:left w:val="single" w:color="auto" w:sz="6" w:space="0"/>
              <w:bottom w:val="single" w:color="auto" w:sz="6" w:space="0"/>
              <w:right w:val="single" w:color="auto" w:sz="6" w:space="0"/>
            </w:tcBorders>
            <w:vAlign w:val="center"/>
          </w:tcPr>
          <w:p>
            <w:pPr>
              <w:ind w:firstLine="480" w:firstLineChars="200"/>
              <w:rPr>
                <w:color w:val="000000"/>
                <w:sz w:val="24"/>
              </w:rPr>
            </w:pPr>
            <w:r>
              <w:rPr>
                <w:rFonts w:cs="Arial"/>
                <w:color w:val="000000"/>
                <w:sz w:val="24"/>
                <w:lang w:bidi="ar"/>
              </w:rPr>
              <w:t>1</w:t>
            </w:r>
          </w:p>
        </w:tc>
        <w:tc>
          <w:tcPr>
            <w:tcW w:w="5823" w:type="dxa"/>
            <w:tcBorders>
              <w:top w:val="single" w:color="auto" w:sz="6" w:space="0"/>
              <w:left w:val="single" w:color="auto" w:sz="6" w:space="0"/>
              <w:bottom w:val="single" w:color="auto" w:sz="6" w:space="0"/>
              <w:right w:val="single" w:color="auto" w:sz="6" w:space="0"/>
            </w:tcBorders>
            <w:vAlign w:val="center"/>
          </w:tcPr>
          <w:p>
            <w:pPr>
              <w:spacing w:line="300" w:lineRule="exact"/>
              <w:ind w:firstLine="480" w:firstLineChars="200"/>
              <w:rPr>
                <w:color w:val="000000"/>
                <w:sz w:val="24"/>
              </w:rPr>
            </w:pPr>
            <w:r>
              <w:rPr>
                <w:rFonts w:hint="eastAsia" w:cs="宋体"/>
                <w:color w:val="000000"/>
                <w:sz w:val="24"/>
                <w:lang w:bidi="ar"/>
              </w:rPr>
              <w:t>助理会计师（含）及以上职称，公路工程财务工作经验</w:t>
            </w:r>
            <w:r>
              <w:rPr>
                <w:rFonts w:cs="Arial"/>
                <w:color w:val="000000"/>
                <w:sz w:val="24"/>
                <w:lang w:bidi="ar"/>
              </w:rPr>
              <w:t xml:space="preserve"> 3</w:t>
            </w:r>
            <w:r>
              <w:rPr>
                <w:rFonts w:hint="eastAsia" w:cs="宋体"/>
                <w:color w:val="000000"/>
                <w:sz w:val="24"/>
                <w:lang w:bidi="ar"/>
              </w:rPr>
              <w:t>年及以上，负责公路工程财务工作</w:t>
            </w:r>
            <w:r>
              <w:rPr>
                <w:rFonts w:cs="Arial"/>
                <w:color w:val="000000"/>
                <w:sz w:val="24"/>
                <w:lang w:bidi="ar"/>
              </w:rPr>
              <w:t>1</w:t>
            </w:r>
            <w:r>
              <w:rPr>
                <w:rFonts w:hint="eastAsia" w:cs="宋体"/>
                <w:color w:val="000000"/>
                <w:sz w:val="24"/>
                <w:lang w:bidi="ar"/>
              </w:rPr>
              <w:t>年以上。</w:t>
            </w:r>
          </w:p>
        </w:tc>
      </w:tr>
    </w:tbl>
    <w:p>
      <w:pPr>
        <w:spacing w:line="360" w:lineRule="auto"/>
        <w:ind w:firstLine="480" w:firstLineChars="200"/>
        <w:rPr>
          <w:rFonts w:ascii="宋体" w:hAnsi="宋体" w:cs="宋体"/>
          <w:sz w:val="24"/>
        </w:rPr>
      </w:pPr>
      <w:r>
        <w:rPr>
          <w:rFonts w:hint="eastAsia" w:cs="宋体"/>
          <w:sz w:val="24"/>
          <w:lang w:bidi="ar"/>
        </w:rPr>
        <w:t>注：</w:t>
      </w:r>
      <w:r>
        <w:rPr>
          <w:sz w:val="24"/>
          <w:lang w:bidi="ar"/>
        </w:rPr>
        <w:t>1</w:t>
      </w:r>
      <w:r>
        <w:rPr>
          <w:rFonts w:hint="eastAsia" w:cs="宋体"/>
          <w:sz w:val="24"/>
          <w:lang w:bidi="ar"/>
        </w:rPr>
        <w:t>、</w:t>
      </w:r>
      <w:r>
        <w:rPr>
          <w:rFonts w:hint="eastAsia" w:ascii="宋体" w:hAnsi="宋体" w:cs="宋体"/>
          <w:sz w:val="24"/>
          <w:lang w:bidi="ar"/>
        </w:rPr>
        <w:t>此表人员不在投标文件中体现（本招标文件中相应内容均不填报），由业主与中标单位签订合同前按此表人员资质要求配备相关人员，否则招标人有权取消其中标资格；</w:t>
      </w:r>
    </w:p>
    <w:p>
      <w:pPr>
        <w:spacing w:line="400" w:lineRule="exact"/>
        <w:rPr>
          <w:b/>
          <w:sz w:val="28"/>
          <w:szCs w:val="28"/>
        </w:rPr>
      </w:pPr>
      <w:r>
        <w:rPr>
          <w:rFonts w:hint="eastAsia" w:ascii="宋体" w:hAnsi="宋体" w:cs="宋体"/>
          <w:sz w:val="24"/>
          <w:lang w:bidi="ar"/>
        </w:rPr>
        <w:t xml:space="preserve">    2、</w:t>
      </w:r>
      <w:r>
        <w:rPr>
          <w:rFonts w:hint="eastAsia" w:cs="宋体"/>
          <w:sz w:val="24"/>
          <w:lang w:bidi="ar"/>
        </w:rPr>
        <w:t>以上人员必须在兵团公路建设市场信用信息系统备案。</w:t>
      </w:r>
    </w:p>
    <w:p>
      <w:pPr>
        <w:spacing w:line="360" w:lineRule="auto"/>
        <w:ind w:firstLine="480" w:firstLineChars="200"/>
        <w:rPr>
          <w:b/>
          <w:sz w:val="24"/>
        </w:rPr>
      </w:pPr>
    </w:p>
    <w:p>
      <w:pPr>
        <w:adjustRightInd w:val="0"/>
        <w:snapToGrid w:val="0"/>
        <w:spacing w:line="400" w:lineRule="atLeast"/>
        <w:jc w:val="center"/>
        <w:rPr>
          <w:rFonts w:eastAsia="黑体"/>
          <w:sz w:val="24"/>
        </w:rPr>
      </w:pPr>
    </w:p>
    <w:p>
      <w:pPr>
        <w:pStyle w:val="2"/>
        <w:spacing w:before="0" w:after="0" w:line="320" w:lineRule="atLeast"/>
        <w:jc w:val="center"/>
        <w:rPr>
          <w:rFonts w:ascii="黑体" w:eastAsia="黑体"/>
          <w:sz w:val="28"/>
          <w:szCs w:val="28"/>
        </w:rPr>
      </w:pPr>
      <w:r>
        <w:rPr>
          <w:rFonts w:eastAsia="黑体"/>
          <w:sz w:val="24"/>
        </w:rPr>
        <w:br w:type="page"/>
      </w:r>
      <w:bookmarkStart w:id="12" w:name="_Toc524567781"/>
      <w:bookmarkStart w:id="13" w:name="_Toc234832869"/>
      <w:r>
        <w:rPr>
          <w:rFonts w:ascii="黑体" w:eastAsia="黑体"/>
          <w:sz w:val="28"/>
          <w:szCs w:val="28"/>
        </w:rPr>
        <w:t>附录7  资格审查条件（主要机械设备和试验检测设备最低要求）</w:t>
      </w:r>
      <w:bookmarkEnd w:id="12"/>
      <w:bookmarkEnd w:id="13"/>
    </w:p>
    <w:tbl>
      <w:tblPr>
        <w:tblStyle w:val="7"/>
        <w:tblW w:w="98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5"/>
        <w:gridCol w:w="3260"/>
        <w:gridCol w:w="3279"/>
        <w:gridCol w:w="166"/>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390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设备名称</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规格、功率及容量</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路面</w:t>
            </w:r>
          </w:p>
        </w:tc>
        <w:tc>
          <w:tcPr>
            <w:tcW w:w="33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水泥稳定土拌合设备</w:t>
            </w:r>
          </w:p>
        </w:tc>
        <w:tc>
          <w:tcPr>
            <w:tcW w:w="32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500T/H</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12m宽水泥稳定土摊铺机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12m</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胶轮压路机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20T</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光轮振动压路机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15T</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振动压路机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26T及以上</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自卸汽车</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25T</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沥青洒布车</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6000L</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同步封层设备</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12m宽沥青摊铺机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12m</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间歇式沥青拌合设备</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3000型及以上</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座</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67"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发电机组</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500 KW</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color w:val="FF0000"/>
                <w:kern w:val="0"/>
                <w:szCs w:val="21"/>
              </w:rPr>
            </w:pPr>
            <w:r>
              <w:rPr>
                <w:rFonts w:hint="eastAsia" w:ascii="宋体" w:hAnsi="宋体"/>
                <w:snapToGrid w:val="0"/>
                <w:color w:val="FF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restart"/>
            <w:tcBorders>
              <w:top w:val="single" w:color="auto" w:sz="4" w:space="0"/>
              <w:left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路基</w:t>
            </w:r>
          </w:p>
        </w:tc>
        <w:tc>
          <w:tcPr>
            <w:tcW w:w="33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推土机</w:t>
            </w:r>
          </w:p>
        </w:tc>
        <w:tc>
          <w:tcPr>
            <w:tcW w:w="32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140KW</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left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挖掘机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1m3单斗</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left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平地机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180KW及以上</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left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振动压路机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26T及以上</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left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装载机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3m3</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left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自卸汽车</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25T</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567" w:type="dxa"/>
            <w:vMerge w:val="continue"/>
            <w:tcBorders>
              <w:left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洒水汽车</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6000L</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napToGrid w:val="0"/>
                <w:kern w:val="0"/>
                <w:szCs w:val="21"/>
              </w:rPr>
            </w:pPr>
          </w:p>
          <w:p>
            <w:pPr>
              <w:widowControl/>
              <w:jc w:val="center"/>
              <w:rPr>
                <w:rFonts w:ascii="宋体" w:hAnsi="宋体"/>
                <w:snapToGrid w:val="0"/>
                <w:kern w:val="0"/>
                <w:szCs w:val="21"/>
              </w:rPr>
            </w:pPr>
            <w:r>
              <w:rPr>
                <w:rFonts w:hint="eastAsia" w:ascii="宋体" w:hAnsi="宋体"/>
                <w:snapToGrid w:val="0"/>
                <w:kern w:val="0"/>
                <w:szCs w:val="21"/>
              </w:rPr>
              <w:t>桥涵</w:t>
            </w:r>
          </w:p>
          <w:p>
            <w:pPr>
              <w:jc w:val="center"/>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水泥砼强制性拌和设备</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 xml:space="preserve">套 </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水泥混凝土运输罐车</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容量大于等于8m³</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插入式振捣器</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1.1KW</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发电机组</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100 KW</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电焊机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钻孔机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挖掘机</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1m3单斗</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冲击夯</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2.5KW</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567"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吊车</w:t>
            </w:r>
          </w:p>
        </w:tc>
        <w:tc>
          <w:tcPr>
            <w:tcW w:w="32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 xml:space="preserve">30t ；50t </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napToGrid w:val="0"/>
                <w:kern w:val="0"/>
                <w:szCs w:val="21"/>
              </w:rPr>
            </w:pPr>
          </w:p>
        </w:tc>
        <w:tc>
          <w:tcPr>
            <w:tcW w:w="33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试验检测设备</w:t>
            </w:r>
          </w:p>
        </w:tc>
        <w:tc>
          <w:tcPr>
            <w:tcW w:w="32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napToGrid w:val="0"/>
                <w:kern w:val="0"/>
                <w:szCs w:val="21"/>
              </w:rPr>
            </w:pPr>
            <w:r>
              <w:rPr>
                <w:rFonts w:hint="eastAsia" w:ascii="宋体" w:hAnsi="宋体"/>
                <w:snapToGrid w:val="0"/>
                <w:kern w:val="0"/>
                <w:szCs w:val="21"/>
              </w:rPr>
              <w:t>按二级公路试验室建立标准工地试验室</w:t>
            </w:r>
          </w:p>
        </w:tc>
        <w:tc>
          <w:tcPr>
            <w:tcW w:w="101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9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需增加其它桥梁涵洞设备投标人自行填写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99"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主要试验检测设备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序号　</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设备名称</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规格、功率及容量</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单位</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最低数量要求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砂标准筛</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孔径（mm）</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石标准筛</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孔径（mm）</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砂石含泥量砂当量测定仪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孔径（mm）</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台秤</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val="0"/>
                <w:kern w:val="0"/>
                <w:szCs w:val="21"/>
              </w:rPr>
            </w:pPr>
            <w:r>
              <w:rPr>
                <w:rFonts w:hint="eastAsia" w:ascii="宋体" w:hAnsi="宋体"/>
                <w:snapToGrid w:val="0"/>
                <w:kern w:val="0"/>
                <w:szCs w:val="21"/>
              </w:rPr>
              <w:t>称量50kg，感量50g 50kg×50g</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案称</w:t>
            </w:r>
          </w:p>
        </w:tc>
        <w:tc>
          <w:tcPr>
            <w:tcW w:w="3445" w:type="dxa"/>
            <w:gridSpan w:val="2"/>
            <w:tcBorders>
              <w:top w:val="single" w:color="auto" w:sz="4" w:space="0"/>
              <w:left w:val="single" w:color="auto" w:sz="4" w:space="0"/>
              <w:right w:val="single" w:color="auto" w:sz="4" w:space="0"/>
            </w:tcBorders>
            <w:vAlign w:val="center"/>
          </w:tcPr>
          <w:p>
            <w:pPr>
              <w:widowControl/>
              <w:spacing w:line="400" w:lineRule="exact"/>
              <w:rPr>
                <w:rFonts w:ascii="宋体" w:hAnsi="宋体"/>
                <w:snapToGrid w:val="0"/>
                <w:kern w:val="0"/>
                <w:szCs w:val="21"/>
              </w:rPr>
            </w:pPr>
            <w:r>
              <w:rPr>
                <w:rFonts w:hint="eastAsia" w:ascii="宋体" w:hAnsi="宋体"/>
                <w:snapToGrid w:val="0"/>
                <w:kern w:val="0"/>
                <w:szCs w:val="21"/>
              </w:rPr>
              <w:t>称量15kg，感量5g   50kg×50g</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6</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分析天平</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0.0001g精度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7</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电子天平</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val="0"/>
                <w:kern w:val="0"/>
                <w:szCs w:val="21"/>
              </w:rPr>
            </w:pPr>
            <w:r>
              <w:rPr>
                <w:rFonts w:hint="eastAsia" w:ascii="宋体" w:hAnsi="宋体"/>
                <w:snapToGrid w:val="0"/>
                <w:kern w:val="0"/>
                <w:szCs w:val="21"/>
              </w:rPr>
              <w:t>称量2kg，感量0.01g  2kg×0.01g</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8</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架盘天平</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snapToGrid w:val="0"/>
                <w:kern w:val="0"/>
                <w:szCs w:val="21"/>
              </w:rPr>
            </w:pPr>
            <w:r>
              <w:rPr>
                <w:rFonts w:hint="eastAsia" w:ascii="宋体" w:hAnsi="宋体"/>
                <w:snapToGrid w:val="0"/>
                <w:kern w:val="0"/>
                <w:szCs w:val="21"/>
              </w:rPr>
              <w:t>称量1kg，感量0.1g    1kg×0.1g</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9</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回弹仪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10</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压碎值仪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坍落度仪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642"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12</w:t>
            </w:r>
          </w:p>
        </w:tc>
        <w:tc>
          <w:tcPr>
            <w:tcW w:w="3260"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试模</w:t>
            </w:r>
          </w:p>
        </w:tc>
        <w:tc>
          <w:tcPr>
            <w:tcW w:w="3445" w:type="dxa"/>
            <w:gridSpan w:val="2"/>
            <w:tcBorders>
              <w:top w:val="single" w:color="auto" w:sz="4" w:space="0"/>
              <w:left w:val="single" w:color="auto" w:sz="4" w:space="0"/>
              <w:right w:val="single" w:color="auto" w:sz="4" w:space="0"/>
            </w:tcBorders>
            <w:vAlign w:val="center"/>
          </w:tcPr>
          <w:p>
            <w:pPr>
              <w:widowControl/>
              <w:spacing w:line="340" w:lineRule="exact"/>
              <w:rPr>
                <w:rFonts w:ascii="宋体" w:hAnsi="宋体"/>
                <w:snapToGrid w:val="0"/>
                <w:kern w:val="0"/>
                <w:szCs w:val="21"/>
              </w:rPr>
            </w:pPr>
            <w:r>
              <w:rPr>
                <w:rFonts w:hint="eastAsia" w:ascii="宋体" w:hAnsi="宋体"/>
                <w:snapToGrid w:val="0"/>
                <w:kern w:val="0"/>
                <w:szCs w:val="21"/>
              </w:rPr>
              <w:t>其中：150×150×150mm   18组</w:t>
            </w:r>
          </w:p>
          <w:p>
            <w:pPr>
              <w:widowControl/>
              <w:spacing w:line="340" w:lineRule="exact"/>
              <w:rPr>
                <w:rFonts w:ascii="宋体" w:hAnsi="宋体"/>
                <w:snapToGrid w:val="0"/>
                <w:kern w:val="0"/>
                <w:szCs w:val="21"/>
              </w:rPr>
            </w:pPr>
            <w:r>
              <w:rPr>
                <w:rFonts w:hint="eastAsia" w:ascii="宋体" w:hAnsi="宋体"/>
                <w:snapToGrid w:val="0"/>
                <w:kern w:val="0"/>
                <w:szCs w:val="21"/>
              </w:rPr>
              <w:t>70.7×70.7×70.7mm      18组</w:t>
            </w:r>
          </w:p>
          <w:p>
            <w:pPr>
              <w:spacing w:line="340" w:lineRule="exact"/>
              <w:rPr>
                <w:rFonts w:ascii="宋体" w:hAnsi="宋体"/>
                <w:snapToGrid w:val="0"/>
                <w:kern w:val="0"/>
                <w:szCs w:val="21"/>
              </w:rPr>
            </w:pPr>
            <w:r>
              <w:rPr>
                <w:rFonts w:hint="eastAsia" w:ascii="宋体" w:hAnsi="宋体"/>
                <w:snapToGrid w:val="0"/>
                <w:kern w:val="0"/>
                <w:szCs w:val="21"/>
              </w:rPr>
              <w:t>φ150mm                 13组</w:t>
            </w:r>
          </w:p>
        </w:tc>
        <w:tc>
          <w:tcPr>
            <w:tcW w:w="851"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组</w:t>
            </w:r>
          </w:p>
        </w:tc>
        <w:tc>
          <w:tcPr>
            <w:tcW w:w="1701"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13</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土壤标准筛</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孔径（mm）</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14</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水泥稳定料标准筛</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孔径（mm）；方孔</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15</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液塑限联合测定仪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圆锥质量100±0.1g</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16</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标准击实仪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重型</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17</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易溶盐试验设备</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18</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压实度检测设备</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19</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弯沉检测设备</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20</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标准贯入仪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规准仪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642"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22</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压力机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200T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642"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23</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万能试验机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100T</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24</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标准恒温恒湿养护箱</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YH-40B</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25</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3m直尺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26</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八轮仪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27</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CBR试验设备</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28</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软化点仪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29</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薄膜烘箱或旋转薄膜烘箱</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30</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滴定台</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铺砂仪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32</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取芯机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33</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路面强度仪、游标卡尺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34</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灌砂筒</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φ150mm、φ100mm各一套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35</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环刀</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200cm3</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36</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电热鼓风干燥箱</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控制湿度范围50-300℃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37</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集料标准筛</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方孔</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38</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沥青针入度仪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自动恒温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40</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沥青延伸度仪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金属温度计</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测定范围0-300℃</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42</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燃烧炉</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43</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电动马歇尔击实仪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44</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马歇尔稳定度仪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45</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电炉</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个</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46</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恒温养护室（混凝土试块）</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47</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混凝土振动台</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GJ-85</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48</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水泥标准稠度、凝结时间测定仪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0-70mm</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50</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雷氏水泥沸煮箱</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FZ-31A</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51</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水泥胶砂搅拌机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53</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水泥净浆搅拌机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N160</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54</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水泥抗折抗压试验机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lang w:val="de-DE"/>
              </w:rPr>
            </w:pPr>
            <w:r>
              <w:rPr>
                <w:rFonts w:hint="eastAsia" w:ascii="宋体" w:hAnsi="宋体"/>
                <w:snapToGrid w:val="0"/>
                <w:kern w:val="0"/>
                <w:szCs w:val="21"/>
                <w:lang w:val="de-DE"/>
              </w:rPr>
              <w:t>300型</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套</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55</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沸煮箱</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FZ-31型</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56</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钢筋位置测定仪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DDG</w:t>
            </w: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57</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表面振动压实仪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58</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空压机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59</w:t>
            </w:r>
          </w:p>
        </w:tc>
        <w:tc>
          <w:tcPr>
            <w:tcW w:w="3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脱模器</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napToGrid w:val="0"/>
                <w:kern w:val="0"/>
                <w:szCs w:val="21"/>
              </w:rPr>
            </w:pPr>
            <w:r>
              <w:rPr>
                <w:rFonts w:hint="eastAsia" w:ascii="宋体" w:hAnsi="宋体"/>
                <w:snapToGrid w:val="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60</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水准仪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S3</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61</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全站仪</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TOPCON：GTS-311</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62</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测量用器具，工具及辅助设备</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盒</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盒</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63</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50m卷尺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把</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642"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64</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5m卷尺</w:t>
            </w:r>
          </w:p>
        </w:tc>
        <w:tc>
          <w:tcPr>
            <w:tcW w:w="3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把</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9899"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napToGrid w:val="0"/>
                <w:kern w:val="0"/>
                <w:szCs w:val="21"/>
              </w:rPr>
            </w:pPr>
            <w:r>
              <w:rPr>
                <w:rFonts w:hint="eastAsia" w:ascii="宋体" w:hAnsi="宋体"/>
                <w:snapToGrid w:val="0"/>
                <w:kern w:val="0"/>
                <w:szCs w:val="21"/>
              </w:rPr>
              <w:t>需增加其它试验检测设备投标人自行填写</w:t>
            </w:r>
          </w:p>
        </w:tc>
      </w:tr>
    </w:tbl>
    <w:p>
      <w:pPr>
        <w:pStyle w:val="11"/>
        <w:ind w:left="420" w:firstLine="0" w:firstLineChars="0"/>
      </w:pPr>
    </w:p>
    <w:p/>
    <w:p/>
    <w:p/>
    <w:p/>
    <w:p/>
    <w:p/>
    <w:p/>
    <w:p/>
    <w:p/>
    <w:p/>
    <w:p/>
    <w:p/>
    <w:p>
      <w:pPr>
        <w:pStyle w:val="11"/>
        <w:numPr>
          <w:ilvl w:val="0"/>
          <w:numId w:val="1"/>
        </w:numPr>
        <w:ind w:firstLineChars="0"/>
        <w:rPr>
          <w:sz w:val="24"/>
        </w:rPr>
      </w:pPr>
      <w:r>
        <w:rPr>
          <w:rFonts w:hint="eastAsia"/>
          <w:sz w:val="24"/>
        </w:rPr>
        <w:t>施工评标办法</w:t>
      </w:r>
    </w:p>
    <w:p>
      <w:pPr>
        <w:pStyle w:val="2"/>
        <w:spacing w:before="200" w:after="0" w:line="380" w:lineRule="atLeast"/>
        <w:rPr>
          <w:rFonts w:ascii="黑体" w:eastAsia="黑体"/>
          <w:b w:val="0"/>
          <w:sz w:val="24"/>
          <w:szCs w:val="24"/>
        </w:rPr>
      </w:pPr>
      <w:bookmarkStart w:id="14" w:name="_Toc234832943"/>
      <w:bookmarkStart w:id="15" w:name="_Toc524567846"/>
      <w:r>
        <w:rPr>
          <w:rFonts w:ascii="黑体" w:eastAsia="黑体"/>
          <w:b w:val="0"/>
          <w:sz w:val="24"/>
          <w:szCs w:val="24"/>
        </w:rPr>
        <w:t>评标办法前附表</w:t>
      </w:r>
      <w:bookmarkEnd w:id="14"/>
      <w:bookmarkEnd w:id="15"/>
    </w:p>
    <w:tbl>
      <w:tblPr>
        <w:tblStyle w:val="7"/>
        <w:tblW w:w="974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71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blHeader/>
        </w:trPr>
        <w:tc>
          <w:tcPr>
            <w:tcW w:w="952" w:type="dxa"/>
            <w:vAlign w:val="center"/>
          </w:tcPr>
          <w:p>
            <w:pPr>
              <w:spacing w:line="360" w:lineRule="auto"/>
              <w:jc w:val="center"/>
              <w:rPr>
                <w:szCs w:val="21"/>
              </w:rPr>
            </w:pPr>
            <w:r>
              <w:rPr>
                <w:rFonts w:hint="eastAsia" w:ascii="宋体" w:hAnsi="宋体" w:cs="宋体"/>
                <w:szCs w:val="21"/>
              </w:rPr>
              <w:t>条款号</w:t>
            </w:r>
          </w:p>
        </w:tc>
        <w:tc>
          <w:tcPr>
            <w:tcW w:w="8790" w:type="dxa"/>
            <w:gridSpan w:val="2"/>
            <w:vAlign w:val="center"/>
          </w:tcPr>
          <w:p>
            <w:pPr>
              <w:spacing w:line="360" w:lineRule="auto"/>
              <w:jc w:val="center"/>
              <w:rPr>
                <w:szCs w:val="21"/>
              </w:rPr>
            </w:pPr>
            <w:r>
              <w:rPr>
                <w:rFonts w:hint="eastAsia" w:ascii="宋体" w:hAnsi="宋体" w:cs="宋体"/>
                <w:szCs w:val="21"/>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2" w:type="dxa"/>
            <w:vAlign w:val="center"/>
          </w:tcPr>
          <w:p>
            <w:pPr>
              <w:spacing w:line="360" w:lineRule="auto"/>
              <w:jc w:val="center"/>
              <w:rPr>
                <w:szCs w:val="21"/>
              </w:rPr>
            </w:pPr>
            <w:r>
              <w:rPr>
                <w:rFonts w:hint="eastAsia" w:ascii="宋体" w:hAnsi="宋体" w:cs="宋体"/>
                <w:szCs w:val="21"/>
              </w:rPr>
              <w:t>1</w:t>
            </w:r>
          </w:p>
        </w:tc>
        <w:tc>
          <w:tcPr>
            <w:tcW w:w="711" w:type="dxa"/>
            <w:vAlign w:val="center"/>
          </w:tcPr>
          <w:p>
            <w:pPr>
              <w:spacing w:line="360" w:lineRule="auto"/>
              <w:jc w:val="center"/>
              <w:rPr>
                <w:szCs w:val="21"/>
              </w:rPr>
            </w:pPr>
            <w:r>
              <w:rPr>
                <w:rFonts w:hint="eastAsia" w:ascii="宋体" w:hAnsi="宋体" w:cs="宋体"/>
                <w:szCs w:val="21"/>
              </w:rPr>
              <w:t>评标方法</w:t>
            </w:r>
          </w:p>
        </w:tc>
        <w:tc>
          <w:tcPr>
            <w:tcW w:w="8079" w:type="dxa"/>
          </w:tcPr>
          <w:p>
            <w:pPr>
              <w:spacing w:line="400" w:lineRule="exact"/>
              <w:ind w:firstLine="420" w:firstLineChars="200"/>
              <w:rPr>
                <w:szCs w:val="21"/>
              </w:rPr>
            </w:pPr>
            <w:r>
              <w:rPr>
                <w:rFonts w:hint="eastAsia"/>
                <w:szCs w:val="21"/>
              </w:rPr>
              <w:t>综合</w:t>
            </w:r>
            <w:r>
              <w:rPr>
                <w:szCs w:val="21"/>
              </w:rPr>
              <w:t>评分相等时，评标委员会依次按照以下优先顺序推荐中标候选人或确定中标人：</w:t>
            </w:r>
          </w:p>
          <w:p>
            <w:pPr>
              <w:spacing w:line="400" w:lineRule="exact"/>
              <w:ind w:firstLine="420" w:firstLineChars="200"/>
              <w:rPr>
                <w:szCs w:val="21"/>
              </w:rPr>
            </w:pPr>
            <w:r>
              <w:rPr>
                <w:rFonts w:hint="eastAsia"/>
                <w:szCs w:val="21"/>
              </w:rPr>
              <w:t>（1）评标价低</w:t>
            </w:r>
            <w:r>
              <w:rPr>
                <w:szCs w:val="21"/>
              </w:rPr>
              <w:t>的投标人优先；</w:t>
            </w:r>
          </w:p>
          <w:p>
            <w:pPr>
              <w:spacing w:line="400" w:lineRule="exact"/>
              <w:ind w:firstLine="420" w:firstLineChars="200"/>
              <w:rPr>
                <w:szCs w:val="21"/>
              </w:rPr>
            </w:pPr>
            <w:r>
              <w:rPr>
                <w:rFonts w:hint="eastAsia"/>
                <w:szCs w:val="21"/>
              </w:rPr>
              <w:t>（2）在兵团信用信息评价中评为较高信用等级的投标人优先；</w:t>
            </w:r>
          </w:p>
          <w:p>
            <w:pPr>
              <w:spacing w:line="400" w:lineRule="exact"/>
              <w:ind w:firstLine="420" w:firstLineChars="200"/>
              <w:rPr>
                <w:szCs w:val="21"/>
              </w:rPr>
            </w:pPr>
            <w:r>
              <w:rPr>
                <w:rFonts w:hint="eastAsia"/>
                <w:szCs w:val="21"/>
              </w:rPr>
              <w:t>（3）商务和技术得分较高的投标人优先。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2" w:type="dxa"/>
            <w:vAlign w:val="center"/>
          </w:tcPr>
          <w:p>
            <w:pPr>
              <w:spacing w:line="360" w:lineRule="auto"/>
              <w:jc w:val="center"/>
              <w:rPr>
                <w:szCs w:val="21"/>
              </w:rPr>
            </w:pPr>
            <w:r>
              <w:rPr>
                <w:rFonts w:hint="eastAsia" w:ascii="宋体" w:hAnsi="宋体" w:cs="宋体"/>
                <w:szCs w:val="21"/>
              </w:rPr>
              <w:t>2.1.1</w:t>
            </w:r>
          </w:p>
          <w:p>
            <w:pPr>
              <w:spacing w:line="360" w:lineRule="auto"/>
              <w:jc w:val="center"/>
              <w:rPr>
                <w:szCs w:val="21"/>
              </w:rPr>
            </w:pPr>
            <w:r>
              <w:rPr>
                <w:rFonts w:hint="eastAsia" w:ascii="宋体" w:hAnsi="宋体" w:cs="宋体"/>
                <w:szCs w:val="21"/>
              </w:rPr>
              <w:t>2.1.3</w:t>
            </w:r>
          </w:p>
        </w:tc>
        <w:tc>
          <w:tcPr>
            <w:tcW w:w="711" w:type="dxa"/>
            <w:vAlign w:val="center"/>
          </w:tcPr>
          <w:p>
            <w:pPr>
              <w:spacing w:line="300" w:lineRule="auto"/>
              <w:jc w:val="center"/>
              <w:rPr>
                <w:szCs w:val="21"/>
              </w:rPr>
            </w:pPr>
            <w:r>
              <w:rPr>
                <w:rFonts w:hint="eastAsia" w:ascii="宋体" w:hAnsi="宋体" w:cs="宋体"/>
                <w:szCs w:val="21"/>
              </w:rPr>
              <w:t>形式评审与响应性评审标准</w:t>
            </w:r>
          </w:p>
        </w:tc>
        <w:tc>
          <w:tcPr>
            <w:tcW w:w="8079" w:type="dxa"/>
          </w:tcPr>
          <w:p>
            <w:pPr>
              <w:spacing w:line="360" w:lineRule="exact"/>
              <w:rPr>
                <w:b/>
                <w:bCs/>
                <w:szCs w:val="21"/>
              </w:rPr>
            </w:pPr>
            <w:r>
              <w:rPr>
                <w:rFonts w:hint="eastAsia" w:ascii="宋体" w:hAnsi="宋体" w:cs="宋体"/>
                <w:b/>
                <w:bCs/>
                <w:szCs w:val="21"/>
              </w:rPr>
              <w:t>第一个信封（商务及技术文件）评审标准：</w:t>
            </w:r>
          </w:p>
          <w:p>
            <w:pPr>
              <w:spacing w:line="360" w:lineRule="exact"/>
              <w:rPr>
                <w:szCs w:val="21"/>
              </w:rPr>
            </w:pPr>
            <w:r>
              <w:rPr>
                <w:rFonts w:hint="eastAsia" w:ascii="宋体" w:hAnsi="宋体" w:cs="宋体"/>
                <w:szCs w:val="21"/>
              </w:rPr>
              <w:t>(1)投标文件按照招标文件规定的格式、内容填写，字迹清晰可辨：</w:t>
            </w:r>
          </w:p>
          <w:p>
            <w:pPr>
              <w:spacing w:line="360" w:lineRule="exact"/>
              <w:rPr>
                <w:szCs w:val="21"/>
              </w:rPr>
            </w:pPr>
            <w:r>
              <w:rPr>
                <w:rFonts w:hint="eastAsia" w:ascii="宋体" w:hAnsi="宋体" w:cs="宋体"/>
                <w:szCs w:val="21"/>
              </w:rPr>
              <w:t>a．投标函按招标文件规定填报了项目名称、标段号、补遗书编号（如有）、工期、工程质量要求及安全目标；</w:t>
            </w:r>
          </w:p>
          <w:p>
            <w:pPr>
              <w:spacing w:line="360" w:lineRule="exact"/>
              <w:rPr>
                <w:szCs w:val="21"/>
              </w:rPr>
            </w:pPr>
            <w:r>
              <w:rPr>
                <w:rFonts w:hint="eastAsia" w:ascii="宋体" w:hAnsi="宋体" w:cs="宋体"/>
                <w:szCs w:val="21"/>
              </w:rPr>
              <w:t>b．投标函附录的所有数据均符合招标文件规定；</w:t>
            </w:r>
          </w:p>
          <w:p>
            <w:pPr>
              <w:spacing w:line="360" w:lineRule="exact"/>
              <w:rPr>
                <w:szCs w:val="21"/>
              </w:rPr>
            </w:pPr>
            <w:r>
              <w:rPr>
                <w:rFonts w:hint="eastAsia" w:ascii="宋体" w:hAnsi="宋体" w:cs="宋体"/>
                <w:szCs w:val="21"/>
              </w:rPr>
              <w:t>c．投标文件组成齐全完整，内容均按规定填写。</w:t>
            </w:r>
          </w:p>
          <w:p>
            <w:pPr>
              <w:spacing w:line="360" w:lineRule="exact"/>
              <w:rPr>
                <w:szCs w:val="21"/>
              </w:rPr>
            </w:pPr>
            <w:r>
              <w:rPr>
                <w:rFonts w:hint="eastAsia" w:ascii="宋体" w:hAnsi="宋体" w:cs="宋体"/>
                <w:szCs w:val="21"/>
              </w:rPr>
              <w:t>（2）投标文件上法定代表人或其委托代理人的签字、投标人的单位章盖章齐全，符合招标文件规定。</w:t>
            </w:r>
          </w:p>
          <w:p>
            <w:pPr>
              <w:spacing w:line="360" w:lineRule="exact"/>
              <w:rPr>
                <w:szCs w:val="21"/>
              </w:rPr>
            </w:pPr>
            <w:r>
              <w:rPr>
                <w:rFonts w:hint="eastAsia" w:ascii="宋体" w:hAnsi="宋体" w:cs="宋体"/>
                <w:szCs w:val="21"/>
              </w:rPr>
              <w:t>(3)与申请资格预审时比较，投标人发生合并、分立、破产等重大变化的，仍具备资格预审文件规定的相应资格条件且其投标未影响招标公正性(如有)：</w:t>
            </w:r>
          </w:p>
          <w:p>
            <w:pPr>
              <w:spacing w:line="360" w:lineRule="exact"/>
              <w:rPr>
                <w:szCs w:val="21"/>
              </w:rPr>
            </w:pPr>
            <w:r>
              <w:rPr>
                <w:rFonts w:hint="eastAsia" w:ascii="宋体" w:hAnsi="宋体" w:cs="宋体"/>
                <w:szCs w:val="21"/>
              </w:rPr>
              <w:t>a．投标人应提供相关部门的合法批件及企业法人营业执照和资质证书等证件的副本变更记录复印件；</w:t>
            </w:r>
          </w:p>
          <w:p>
            <w:pPr>
              <w:spacing w:line="360" w:lineRule="exact"/>
              <w:rPr>
                <w:szCs w:val="21"/>
              </w:rPr>
            </w:pPr>
            <w:r>
              <w:rPr>
                <w:rFonts w:hint="eastAsia" w:ascii="宋体" w:hAnsi="宋体" w:cs="宋体"/>
                <w:szCs w:val="21"/>
              </w:rPr>
              <w:t>b．投标人仍然满足资格预审文件中规定的资格预审条件最低要求（资质、业绩、人员、信誉、财务等）；</w:t>
            </w:r>
          </w:p>
          <w:p>
            <w:pPr>
              <w:spacing w:line="360" w:lineRule="exact"/>
              <w:rPr>
                <w:szCs w:val="21"/>
              </w:rPr>
            </w:pPr>
            <w:r>
              <w:rPr>
                <w:rFonts w:hint="eastAsia" w:ascii="宋体" w:hAnsi="宋体" w:cs="宋体"/>
                <w:szCs w:val="21"/>
              </w:rPr>
              <w:t>c．与所投标段的其他投标人不存在控股、管理关系或单位负责人为同一人的情况；与招标人也不存在利害关系并可能影响招标公正性。</w:t>
            </w:r>
          </w:p>
          <w:p>
            <w:pPr>
              <w:spacing w:line="360" w:lineRule="exact"/>
              <w:rPr>
                <w:szCs w:val="21"/>
              </w:rPr>
            </w:pPr>
            <w:r>
              <w:rPr>
                <w:rFonts w:hint="eastAsia" w:ascii="宋体" w:hAnsi="宋体" w:cs="宋体"/>
                <w:szCs w:val="21"/>
              </w:rPr>
              <w:t>(4)投标人按照招标文件的规定提供了投标保证金：</w:t>
            </w:r>
          </w:p>
          <w:p>
            <w:pPr>
              <w:spacing w:line="360" w:lineRule="exact"/>
              <w:rPr>
                <w:szCs w:val="21"/>
              </w:rPr>
            </w:pPr>
            <w:r>
              <w:rPr>
                <w:rFonts w:hint="eastAsia" w:ascii="宋体" w:hAnsi="宋体" w:cs="宋体"/>
                <w:szCs w:val="21"/>
              </w:rPr>
              <w:t>a．投标保证金金额符合招标文件规定的金额，且投标保证金</w:t>
            </w:r>
            <w:r>
              <w:rPr>
                <w:rFonts w:hint="eastAsia" w:ascii="宋体" w:hAnsi="宋体" w:cs="宋体"/>
                <w:w w:val="98"/>
                <w:szCs w:val="21"/>
              </w:rPr>
              <w:t>有效期</w:t>
            </w:r>
            <w:r>
              <w:rPr>
                <w:rFonts w:hint="eastAsia" w:ascii="宋体" w:hAnsi="宋体" w:cs="宋体"/>
                <w:szCs w:val="21"/>
              </w:rPr>
              <w:t>不少于投标有效期；</w:t>
            </w:r>
          </w:p>
          <w:p>
            <w:pPr>
              <w:spacing w:line="360" w:lineRule="exact"/>
              <w:rPr>
                <w:szCs w:val="21"/>
              </w:rPr>
            </w:pPr>
            <w:r>
              <w:rPr>
                <w:rFonts w:hint="eastAsia" w:ascii="宋体" w:hAnsi="宋体" w:cs="宋体"/>
                <w:szCs w:val="21"/>
              </w:rPr>
              <w:t>b．若投标保证金采用现金或支票形式提交，投标人应在递交投标文件截止时间之前，将投标保证金由投标人的基本账户转入招标人指定账户；</w:t>
            </w:r>
          </w:p>
          <w:p>
            <w:pPr>
              <w:spacing w:line="360" w:lineRule="exact"/>
              <w:rPr>
                <w:szCs w:val="21"/>
              </w:rPr>
            </w:pPr>
            <w:r>
              <w:rPr>
                <w:rFonts w:hint="eastAsia" w:ascii="宋体" w:hAnsi="宋体" w:cs="宋体"/>
                <w:szCs w:val="21"/>
              </w:rPr>
              <w:t>c．若投标保证金采用银行保函形式提交，银行保函的格式、开具保函的银行均满足招标文件要求，且在递交投标文件截止时间之前向招标人提交了银行保函原件。</w:t>
            </w:r>
          </w:p>
          <w:p>
            <w:pPr>
              <w:spacing w:line="360" w:lineRule="exact"/>
              <w:rPr>
                <w:szCs w:val="21"/>
              </w:rPr>
            </w:pPr>
            <w:r>
              <w:rPr>
                <w:rFonts w:hint="eastAsia" w:ascii="宋体" w:hAnsi="宋体" w:cs="宋体"/>
                <w:szCs w:val="21"/>
              </w:rPr>
              <w:t>（5）投标人法定代表人授权委托代理人签署投标文件的，须提交授权委托书，且授权人和被授权人均在授权委托书上签名，未使用印章、签名章或其他电子制版签名代替。</w:t>
            </w:r>
          </w:p>
          <w:p>
            <w:pPr>
              <w:spacing w:line="360" w:lineRule="exact"/>
              <w:rPr>
                <w:szCs w:val="21"/>
              </w:rPr>
            </w:pPr>
            <w:r>
              <w:rPr>
                <w:rFonts w:hint="eastAsia" w:ascii="宋体" w:hAnsi="宋体" w:cs="宋体"/>
                <w:szCs w:val="21"/>
              </w:rPr>
              <w:t xml:space="preserve">（6）投标人法定代表人亲自签署投标文件的，提供了法定代表人身份证明，且法定代表人在法定代表人身份证明上签名，未使用印章、签名章或其他电子制版签名代替。 </w:t>
            </w:r>
          </w:p>
          <w:p>
            <w:pPr>
              <w:spacing w:line="360" w:lineRule="exact"/>
              <w:rPr>
                <w:szCs w:val="21"/>
              </w:rPr>
            </w:pPr>
            <w:r>
              <w:rPr>
                <w:rFonts w:hint="eastAsia" w:ascii="宋体" w:hAnsi="宋体" w:cs="宋体"/>
                <w:szCs w:val="21"/>
              </w:rPr>
              <w:t>（7）投标人以联合体形式投标时，联合体满足招标文件的要求：</w:t>
            </w:r>
          </w:p>
          <w:p>
            <w:pPr>
              <w:spacing w:line="360" w:lineRule="exact"/>
              <w:ind w:firstLine="420" w:firstLineChars="200"/>
              <w:rPr>
                <w:rFonts w:ascii="宋体" w:hAnsi="宋体" w:cs="宋体"/>
                <w:szCs w:val="21"/>
              </w:rPr>
            </w:pPr>
            <w:r>
              <w:rPr>
                <w:rFonts w:hint="eastAsia" w:ascii="宋体" w:hAnsi="宋体" w:cs="宋体"/>
                <w:szCs w:val="21"/>
              </w:rPr>
              <w:t>投标人按照招标文件提供的格式签订了联合体协议书，明确各方承担连带责任，并明确了联合体牵头人；</w:t>
            </w:r>
          </w:p>
          <w:p>
            <w:pPr>
              <w:spacing w:line="360" w:lineRule="exact"/>
              <w:rPr>
                <w:szCs w:val="21"/>
              </w:rPr>
            </w:pPr>
            <w:r>
              <w:rPr>
                <w:rFonts w:hint="eastAsia" w:ascii="宋体" w:hAnsi="宋体" w:cs="宋体"/>
                <w:szCs w:val="21"/>
              </w:rPr>
              <w:t>（8）投标人如有分包计划，符合招标文件第二章“投标人须知”第 1.11 款规定，且按招标文件第九章“投标文件格式”的要求填写了“拟分包项目情况表”。</w:t>
            </w:r>
          </w:p>
          <w:p>
            <w:pPr>
              <w:spacing w:line="360" w:lineRule="exact"/>
              <w:rPr>
                <w:szCs w:val="21"/>
              </w:rPr>
            </w:pPr>
            <w:r>
              <w:rPr>
                <w:rFonts w:hint="eastAsia" w:ascii="宋体" w:hAnsi="宋体" w:cs="宋体"/>
                <w:szCs w:val="21"/>
              </w:rPr>
              <w:t>（9）同一投标人未提交两个以上不同的投标文件，但招标文件要求提交备选投标的除外。</w:t>
            </w:r>
          </w:p>
          <w:p>
            <w:pPr>
              <w:spacing w:line="360" w:lineRule="exact"/>
              <w:rPr>
                <w:szCs w:val="21"/>
              </w:rPr>
            </w:pPr>
            <w:r>
              <w:rPr>
                <w:rFonts w:hint="eastAsia" w:ascii="宋体" w:hAnsi="宋体" w:cs="宋体"/>
                <w:szCs w:val="21"/>
              </w:rPr>
              <w:t>（10）投标文件中未出现有关投标报价的内容。</w:t>
            </w:r>
          </w:p>
          <w:p>
            <w:pPr>
              <w:spacing w:line="360" w:lineRule="exact"/>
              <w:rPr>
                <w:szCs w:val="21"/>
              </w:rPr>
            </w:pPr>
            <w:r>
              <w:rPr>
                <w:rFonts w:hint="eastAsia" w:ascii="宋体" w:hAnsi="宋体" w:cs="宋体"/>
                <w:szCs w:val="21"/>
              </w:rPr>
              <w:t>（11）投标文件载明的招标项目完成期限未超过招标文件规定的时限。</w:t>
            </w:r>
          </w:p>
          <w:p>
            <w:pPr>
              <w:spacing w:line="360" w:lineRule="exact"/>
              <w:rPr>
                <w:szCs w:val="21"/>
              </w:rPr>
            </w:pPr>
            <w:r>
              <w:rPr>
                <w:rFonts w:hint="eastAsia" w:ascii="宋体" w:hAnsi="宋体" w:cs="宋体"/>
                <w:szCs w:val="21"/>
              </w:rPr>
              <w:t>（12）投标文件对招标文件的实质性要求和条件作出响应。</w:t>
            </w:r>
          </w:p>
          <w:p>
            <w:pPr>
              <w:spacing w:line="360" w:lineRule="exact"/>
              <w:rPr>
                <w:szCs w:val="21"/>
              </w:rPr>
            </w:pPr>
            <w:r>
              <w:rPr>
                <w:rFonts w:hint="eastAsia" w:ascii="宋体" w:hAnsi="宋体" w:cs="宋体"/>
                <w:szCs w:val="21"/>
              </w:rPr>
              <w:t>（13）权利义务符合招标文件规定：</w:t>
            </w:r>
          </w:p>
          <w:p>
            <w:pPr>
              <w:spacing w:line="360" w:lineRule="exact"/>
              <w:rPr>
                <w:szCs w:val="21"/>
              </w:rPr>
            </w:pPr>
            <w:r>
              <w:rPr>
                <w:rFonts w:hint="eastAsia" w:ascii="宋体" w:hAnsi="宋体" w:cs="宋体"/>
                <w:szCs w:val="21"/>
              </w:rPr>
              <w:t>a.投标人应接受招标文件规定的风险划分原则，未提出新的风险划分办法；</w:t>
            </w:r>
          </w:p>
          <w:p>
            <w:pPr>
              <w:spacing w:line="360" w:lineRule="exact"/>
              <w:rPr>
                <w:szCs w:val="21"/>
              </w:rPr>
            </w:pPr>
            <w:r>
              <w:rPr>
                <w:rFonts w:hint="eastAsia" w:ascii="宋体" w:hAnsi="宋体" w:cs="宋体"/>
                <w:szCs w:val="21"/>
              </w:rPr>
              <w:t>b.投标人未增加发包人的责任范围，或减少投标人义务；</w:t>
            </w:r>
          </w:p>
          <w:p>
            <w:pPr>
              <w:spacing w:line="360" w:lineRule="exact"/>
              <w:rPr>
                <w:szCs w:val="21"/>
              </w:rPr>
            </w:pPr>
            <w:r>
              <w:rPr>
                <w:rFonts w:hint="eastAsia" w:ascii="宋体" w:hAnsi="宋体" w:cs="宋体"/>
                <w:szCs w:val="21"/>
              </w:rPr>
              <w:t>c.投标人未提出不同的工程验收、计量、支付办法；</w:t>
            </w:r>
          </w:p>
          <w:p>
            <w:pPr>
              <w:spacing w:line="360" w:lineRule="exact"/>
              <w:rPr>
                <w:szCs w:val="21"/>
              </w:rPr>
            </w:pPr>
            <w:r>
              <w:rPr>
                <w:rFonts w:hint="eastAsia" w:ascii="宋体" w:hAnsi="宋体" w:cs="宋体"/>
                <w:szCs w:val="21"/>
              </w:rPr>
              <w:t>d.投标人对合同纠纷、事故处理办法未提出异议；</w:t>
            </w:r>
          </w:p>
          <w:p>
            <w:pPr>
              <w:spacing w:line="360" w:lineRule="exact"/>
              <w:rPr>
                <w:szCs w:val="21"/>
              </w:rPr>
            </w:pPr>
            <w:r>
              <w:rPr>
                <w:rFonts w:hint="eastAsia" w:ascii="宋体" w:hAnsi="宋体" w:cs="宋体"/>
                <w:szCs w:val="21"/>
              </w:rPr>
              <w:t>e.投标人在投标活动中无欺诈行为；</w:t>
            </w:r>
          </w:p>
          <w:p>
            <w:pPr>
              <w:spacing w:line="360" w:lineRule="exact"/>
              <w:rPr>
                <w:szCs w:val="21"/>
              </w:rPr>
            </w:pPr>
            <w:r>
              <w:rPr>
                <w:rFonts w:hint="eastAsia" w:ascii="宋体" w:hAnsi="宋体" w:cs="宋体"/>
                <w:szCs w:val="21"/>
              </w:rPr>
              <w:t>f.投标人未对合同条款有重要保留。</w:t>
            </w:r>
          </w:p>
          <w:p>
            <w:pPr>
              <w:spacing w:line="360" w:lineRule="exact"/>
              <w:rPr>
                <w:szCs w:val="21"/>
              </w:rPr>
            </w:pPr>
            <w:r>
              <w:rPr>
                <w:rFonts w:hint="eastAsia" w:ascii="宋体" w:hAnsi="宋体" w:cs="宋体"/>
                <w:szCs w:val="21"/>
              </w:rPr>
              <w:t>（14）投标文件正、副本份数符合招标文件第二章“投标人须知”第 3.7.4 项规定。</w:t>
            </w:r>
          </w:p>
          <w:p>
            <w:pPr>
              <w:spacing w:line="360" w:lineRule="exact"/>
              <w:rPr>
                <w:b/>
                <w:bCs/>
                <w:szCs w:val="21"/>
              </w:rPr>
            </w:pPr>
            <w:r>
              <w:rPr>
                <w:rFonts w:hint="eastAsia" w:ascii="宋体" w:hAnsi="宋体" w:cs="宋体"/>
                <w:b/>
                <w:bCs/>
                <w:szCs w:val="21"/>
              </w:rPr>
              <w:t>第二个信封（报价文件）评审标准：</w:t>
            </w:r>
          </w:p>
          <w:p>
            <w:pPr>
              <w:spacing w:line="360" w:lineRule="exact"/>
              <w:rPr>
                <w:szCs w:val="21"/>
              </w:rPr>
            </w:pPr>
            <w:r>
              <w:rPr>
                <w:rFonts w:hint="eastAsia" w:ascii="宋体" w:hAnsi="宋体" w:cs="宋体"/>
                <w:szCs w:val="21"/>
              </w:rPr>
              <w:t>（1）投标文件按照招标文件规定的格式、内容填写，字迹清晰可辨：</w:t>
            </w:r>
          </w:p>
          <w:p>
            <w:pPr>
              <w:spacing w:line="360" w:lineRule="exact"/>
              <w:rPr>
                <w:szCs w:val="21"/>
              </w:rPr>
            </w:pPr>
            <w:r>
              <w:rPr>
                <w:rFonts w:hint="eastAsia" w:ascii="宋体" w:hAnsi="宋体" w:cs="宋体"/>
                <w:szCs w:val="21"/>
              </w:rPr>
              <w:t>a.投标函按招标文件规定填报了项目名称、标段号、补遗书编号（如有）、投标价（包括大写金额和小写金额）；</w:t>
            </w:r>
          </w:p>
          <w:p>
            <w:pPr>
              <w:spacing w:line="360" w:lineRule="exact"/>
              <w:rPr>
                <w:szCs w:val="21"/>
              </w:rPr>
            </w:pPr>
            <w:r>
              <w:rPr>
                <w:rFonts w:hint="eastAsia" w:ascii="宋体" w:hAnsi="宋体" w:cs="宋体"/>
                <w:szCs w:val="21"/>
              </w:rPr>
              <w:t>b.已标价工程量清单说明文字与招标文件规定一致，未进行实质性修改和删减；</w:t>
            </w:r>
          </w:p>
          <w:p>
            <w:pPr>
              <w:spacing w:line="360" w:lineRule="exact"/>
              <w:rPr>
                <w:szCs w:val="21"/>
              </w:rPr>
            </w:pPr>
            <w:r>
              <w:rPr>
                <w:rFonts w:hint="eastAsia" w:ascii="宋体" w:hAnsi="宋体" w:cs="宋体"/>
                <w:szCs w:val="21"/>
              </w:rPr>
              <w:t>c.投标文件组成齐全完整，内容均按规定填写。</w:t>
            </w:r>
          </w:p>
          <w:p>
            <w:pPr>
              <w:spacing w:line="360" w:lineRule="exact"/>
              <w:rPr>
                <w:szCs w:val="21"/>
              </w:rPr>
            </w:pPr>
            <w:r>
              <w:rPr>
                <w:rFonts w:hint="eastAsia" w:ascii="宋体" w:hAnsi="宋体" w:cs="宋体"/>
                <w:szCs w:val="21"/>
              </w:rPr>
              <w:t>（2）投标文件上法定代表人或其委托代理人的签字、投标人的单位章盖章齐全，符合招标文件规定。</w:t>
            </w:r>
          </w:p>
          <w:p>
            <w:pPr>
              <w:spacing w:line="360" w:lineRule="exact"/>
              <w:rPr>
                <w:szCs w:val="21"/>
              </w:rPr>
            </w:pPr>
            <w:r>
              <w:rPr>
                <w:rFonts w:hint="eastAsia" w:ascii="宋体" w:hAnsi="宋体" w:cs="宋体"/>
                <w:szCs w:val="21"/>
              </w:rPr>
              <w:t>（3）投标报价或调价函中的报价未超过招标文件设定的最高投标限价（如有）。</w:t>
            </w:r>
          </w:p>
          <w:p>
            <w:pPr>
              <w:spacing w:line="360" w:lineRule="exact"/>
              <w:rPr>
                <w:szCs w:val="21"/>
              </w:rPr>
            </w:pPr>
            <w:r>
              <w:rPr>
                <w:rFonts w:hint="eastAsia" w:ascii="宋体" w:hAnsi="宋体" w:cs="宋体"/>
                <w:szCs w:val="21"/>
              </w:rPr>
              <w:t>（4）投标报价或调价函中报价的大写金额能够确定具体数值。</w:t>
            </w:r>
          </w:p>
          <w:p>
            <w:pPr>
              <w:spacing w:line="360" w:lineRule="exact"/>
              <w:rPr>
                <w:szCs w:val="21"/>
              </w:rPr>
            </w:pPr>
            <w:r>
              <w:rPr>
                <w:rFonts w:hint="eastAsia" w:ascii="宋体" w:hAnsi="宋体" w:cs="宋体"/>
                <w:szCs w:val="21"/>
              </w:rPr>
              <w:t>（5）同一投标人未提交两个以上不同的投标报价，但招标文件要求提交备选投标的除外。</w:t>
            </w:r>
          </w:p>
          <w:p>
            <w:pPr>
              <w:spacing w:line="360" w:lineRule="exact"/>
              <w:rPr>
                <w:szCs w:val="21"/>
              </w:rPr>
            </w:pPr>
            <w:r>
              <w:rPr>
                <w:rFonts w:hint="eastAsia" w:ascii="宋体" w:hAnsi="宋体" w:cs="宋体"/>
                <w:szCs w:val="21"/>
              </w:rPr>
              <w:t>（6）投标人若提交调价函，调价函符合招标文件第二章“投标人须知”第 3.2.6 项要求。</w:t>
            </w:r>
          </w:p>
          <w:p>
            <w:pPr>
              <w:spacing w:line="360" w:lineRule="exact"/>
              <w:rPr>
                <w:szCs w:val="21"/>
              </w:rPr>
            </w:pPr>
            <w:r>
              <w:rPr>
                <w:rFonts w:hint="eastAsia" w:ascii="宋体" w:hAnsi="宋体" w:cs="宋体"/>
                <w:szCs w:val="21"/>
              </w:rPr>
              <w:t>（7）投标人若填写工程量固化清单，填写完毕的工程量固化清单未对工程量固化清单电子文件中的数据、格式和运算定义进行修改；工程量固化清单中的投标报价和投标函大写金额报价一致。</w:t>
            </w:r>
          </w:p>
          <w:p>
            <w:pPr>
              <w:spacing w:line="360" w:lineRule="exact"/>
              <w:rPr>
                <w:szCs w:val="21"/>
              </w:rPr>
            </w:pPr>
            <w:r>
              <w:rPr>
                <w:rFonts w:hint="eastAsia" w:ascii="宋体" w:hAnsi="宋体" w:cs="宋体"/>
                <w:szCs w:val="21"/>
              </w:rPr>
              <w:t>（8）投标文件正、副本份数符合招标文件第二章“投标人须知”第3.7.4 项规定。</w:t>
            </w:r>
          </w:p>
        </w:tc>
      </w:tr>
    </w:tbl>
    <w:p>
      <w:pPr>
        <w:ind w:right="84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jc w:val="right"/>
      </w:pPr>
      <w:r>
        <w:rPr>
          <w:rFonts w:hint="eastAsia"/>
        </w:rPr>
        <w:t>续上表</w:t>
      </w:r>
    </w:p>
    <w:tbl>
      <w:tblPr>
        <w:tblStyle w:val="7"/>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200"/>
        <w:gridCol w:w="7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blHeader/>
        </w:trPr>
        <w:tc>
          <w:tcPr>
            <w:tcW w:w="1109" w:type="dxa"/>
            <w:vAlign w:val="center"/>
          </w:tcPr>
          <w:p>
            <w:pPr>
              <w:spacing w:line="360" w:lineRule="auto"/>
              <w:jc w:val="center"/>
              <w:rPr>
                <w:szCs w:val="21"/>
              </w:rPr>
            </w:pPr>
            <w:r>
              <w:rPr>
                <w:rFonts w:hint="eastAsia" w:ascii="宋体" w:hAnsi="宋体" w:cs="宋体"/>
                <w:szCs w:val="21"/>
              </w:rPr>
              <w:t>条款号</w:t>
            </w:r>
          </w:p>
        </w:tc>
        <w:tc>
          <w:tcPr>
            <w:tcW w:w="8207" w:type="dxa"/>
            <w:gridSpan w:val="2"/>
            <w:vAlign w:val="center"/>
          </w:tcPr>
          <w:p>
            <w:pPr>
              <w:spacing w:line="360" w:lineRule="auto"/>
              <w:jc w:val="center"/>
              <w:rPr>
                <w:szCs w:val="21"/>
              </w:rPr>
            </w:pPr>
            <w:r>
              <w:rPr>
                <w:rFonts w:hint="eastAsia" w:ascii="宋体" w:hAnsi="宋体" w:cs="宋体"/>
                <w:szCs w:val="21"/>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4" w:hRule="atLeast"/>
        </w:trPr>
        <w:tc>
          <w:tcPr>
            <w:tcW w:w="1109" w:type="dxa"/>
            <w:vAlign w:val="center"/>
          </w:tcPr>
          <w:p>
            <w:pPr>
              <w:spacing w:line="360" w:lineRule="auto"/>
              <w:jc w:val="center"/>
              <w:rPr>
                <w:szCs w:val="21"/>
              </w:rPr>
            </w:pPr>
            <w:r>
              <w:rPr>
                <w:rFonts w:hint="eastAsia" w:ascii="宋体" w:hAnsi="宋体" w:cs="宋体"/>
                <w:szCs w:val="21"/>
              </w:rPr>
              <w:t>2.1.2</w:t>
            </w:r>
          </w:p>
        </w:tc>
        <w:tc>
          <w:tcPr>
            <w:tcW w:w="1200" w:type="dxa"/>
            <w:vAlign w:val="center"/>
          </w:tcPr>
          <w:p>
            <w:pPr>
              <w:spacing w:line="300" w:lineRule="auto"/>
              <w:jc w:val="center"/>
              <w:rPr>
                <w:szCs w:val="21"/>
              </w:rPr>
            </w:pPr>
            <w:r>
              <w:rPr>
                <w:rFonts w:hint="eastAsia" w:ascii="宋体" w:hAnsi="宋体" w:cs="宋体"/>
                <w:szCs w:val="21"/>
              </w:rPr>
              <w:t>资格评审标准</w:t>
            </w:r>
          </w:p>
        </w:tc>
        <w:tc>
          <w:tcPr>
            <w:tcW w:w="7007" w:type="dxa"/>
          </w:tcPr>
          <w:p>
            <w:pPr>
              <w:spacing w:line="300" w:lineRule="auto"/>
              <w:rPr>
                <w:szCs w:val="21"/>
              </w:rPr>
            </w:pPr>
            <w:r>
              <w:rPr>
                <w:rFonts w:hint="eastAsia" w:ascii="宋体" w:hAnsi="宋体" w:cs="宋体"/>
                <w:szCs w:val="21"/>
              </w:rPr>
              <w:t>（1）投标人具备有效的营业执照、组织机构代码证、资质证书、安全生产许可证和基本账户开户许可证。</w:t>
            </w:r>
          </w:p>
          <w:p>
            <w:pPr>
              <w:spacing w:line="300" w:lineRule="auto"/>
              <w:rPr>
                <w:szCs w:val="21"/>
              </w:rPr>
            </w:pPr>
            <w:r>
              <w:rPr>
                <w:rFonts w:hint="eastAsia" w:ascii="宋体" w:hAnsi="宋体" w:cs="宋体"/>
                <w:szCs w:val="21"/>
              </w:rPr>
              <w:t xml:space="preserve">（2）投标人的资质等级符合招标文件规定。 </w:t>
            </w:r>
          </w:p>
          <w:p>
            <w:pPr>
              <w:spacing w:line="300" w:lineRule="auto"/>
              <w:rPr>
                <w:szCs w:val="21"/>
              </w:rPr>
            </w:pPr>
            <w:r>
              <w:rPr>
                <w:rFonts w:hint="eastAsia" w:ascii="宋体" w:hAnsi="宋体" w:cs="宋体"/>
                <w:szCs w:val="21"/>
              </w:rPr>
              <w:t>（3）投标人的财务状况符合招标文件规定。</w:t>
            </w:r>
          </w:p>
          <w:p>
            <w:pPr>
              <w:spacing w:line="300" w:lineRule="auto"/>
              <w:rPr>
                <w:szCs w:val="21"/>
              </w:rPr>
            </w:pPr>
            <w:r>
              <w:rPr>
                <w:rFonts w:hint="eastAsia" w:ascii="宋体" w:hAnsi="宋体" w:cs="宋体"/>
                <w:szCs w:val="21"/>
              </w:rPr>
              <w:t>（4）投标人的类似项目业绩符合招标文件规定。</w:t>
            </w:r>
          </w:p>
          <w:p>
            <w:pPr>
              <w:spacing w:line="300" w:lineRule="auto"/>
              <w:rPr>
                <w:szCs w:val="21"/>
              </w:rPr>
            </w:pPr>
            <w:r>
              <w:rPr>
                <w:rFonts w:hint="eastAsia" w:ascii="宋体" w:hAnsi="宋体" w:cs="宋体"/>
                <w:szCs w:val="21"/>
              </w:rPr>
              <w:t>（5）投标人的信誉符合招标文件规定。</w:t>
            </w:r>
          </w:p>
          <w:p>
            <w:pPr>
              <w:spacing w:line="300" w:lineRule="auto"/>
              <w:rPr>
                <w:szCs w:val="21"/>
              </w:rPr>
            </w:pPr>
            <w:r>
              <w:rPr>
                <w:rFonts w:hint="eastAsia" w:ascii="宋体" w:hAnsi="宋体" w:cs="宋体"/>
                <w:szCs w:val="21"/>
              </w:rPr>
              <w:t>（6）投标人的项目经理和项目总工资格、在岗情况符合招标文件规定。</w:t>
            </w:r>
          </w:p>
          <w:p>
            <w:pPr>
              <w:spacing w:line="300" w:lineRule="auto"/>
              <w:rPr>
                <w:szCs w:val="21"/>
              </w:rPr>
            </w:pPr>
            <w:r>
              <w:rPr>
                <w:rFonts w:hint="eastAsia" w:ascii="宋体" w:hAnsi="宋体" w:cs="宋体"/>
                <w:szCs w:val="21"/>
              </w:rPr>
              <w:t>（7）投标人的其他要求符合招标文件规定。</w:t>
            </w:r>
          </w:p>
          <w:p>
            <w:pPr>
              <w:spacing w:line="300" w:lineRule="auto"/>
              <w:rPr>
                <w:szCs w:val="21"/>
              </w:rPr>
            </w:pPr>
            <w:r>
              <w:rPr>
                <w:rFonts w:hint="eastAsia" w:ascii="宋体" w:hAnsi="宋体" w:cs="宋体"/>
                <w:szCs w:val="21"/>
              </w:rPr>
              <w:t>（8）投标人不存在第二章“投标人须知”第 1.4.3 项或第 1.4.4 项规定的任何一种情形。</w:t>
            </w:r>
          </w:p>
          <w:p>
            <w:pPr>
              <w:spacing w:line="300" w:lineRule="auto"/>
              <w:rPr>
                <w:szCs w:val="21"/>
              </w:rPr>
            </w:pPr>
            <w:r>
              <w:rPr>
                <w:rFonts w:hint="eastAsia" w:ascii="宋体" w:hAnsi="宋体" w:cs="宋体"/>
                <w:szCs w:val="21"/>
              </w:rPr>
              <w:t>（9）投标人符合第二章“投标人须知”第 1.4.5 项规定。</w:t>
            </w:r>
          </w:p>
          <w:p>
            <w:pPr>
              <w:spacing w:line="300" w:lineRule="auto"/>
              <w:rPr>
                <w:szCs w:val="21"/>
              </w:rPr>
            </w:pPr>
            <w:r>
              <w:rPr>
                <w:rFonts w:hint="eastAsia" w:ascii="宋体" w:hAnsi="宋体" w:cs="宋体"/>
                <w:szCs w:val="21"/>
              </w:rPr>
              <w:t>（10）以联合体形式参与投标的，联合体各方均未再以自己名义单独或参加其他联合体在同一标段中投标；独立参与投标的，投标人未同时参加联合体在同一标段中投标。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5" w:hRule="atLeast"/>
        </w:trPr>
        <w:tc>
          <w:tcPr>
            <w:tcW w:w="1109" w:type="dxa"/>
            <w:vAlign w:val="center"/>
          </w:tcPr>
          <w:p>
            <w:pPr>
              <w:spacing w:line="360" w:lineRule="auto"/>
              <w:jc w:val="center"/>
              <w:rPr>
                <w:szCs w:val="21"/>
              </w:rPr>
            </w:pPr>
            <w:r>
              <w:rPr>
                <w:rFonts w:hint="eastAsia" w:ascii="宋体" w:hAnsi="宋体" w:cs="宋体"/>
                <w:szCs w:val="21"/>
              </w:rPr>
              <w:t>2.2.1</w:t>
            </w:r>
          </w:p>
        </w:tc>
        <w:tc>
          <w:tcPr>
            <w:tcW w:w="1200" w:type="dxa"/>
            <w:vAlign w:val="center"/>
          </w:tcPr>
          <w:p>
            <w:pPr>
              <w:spacing w:line="300" w:lineRule="auto"/>
              <w:jc w:val="center"/>
              <w:rPr>
                <w:szCs w:val="21"/>
              </w:rPr>
            </w:pPr>
            <w:r>
              <w:rPr>
                <w:rFonts w:hint="eastAsia" w:ascii="宋体" w:hAnsi="宋体" w:cs="宋体"/>
                <w:szCs w:val="21"/>
              </w:rPr>
              <w:t>分值构成（总分100分）</w:t>
            </w:r>
          </w:p>
        </w:tc>
        <w:tc>
          <w:tcPr>
            <w:tcW w:w="7007" w:type="dxa"/>
            <w:vAlign w:val="center"/>
          </w:tcPr>
          <w:p>
            <w:pPr>
              <w:spacing w:line="300" w:lineRule="auto"/>
              <w:rPr>
                <w:rFonts w:ascii="宋体" w:hAnsi="宋体" w:cs="宋体"/>
                <w:szCs w:val="21"/>
              </w:rPr>
            </w:pPr>
            <w:r>
              <w:rPr>
                <w:rFonts w:hint="eastAsia" w:ascii="宋体" w:hAnsi="宋体" w:cs="宋体"/>
                <w:szCs w:val="21"/>
              </w:rPr>
              <w:t>第一个信封（商务及技术文件）评分分值构成：</w:t>
            </w:r>
          </w:p>
          <w:p>
            <w:pPr>
              <w:spacing w:line="300" w:lineRule="auto"/>
              <w:rPr>
                <w:rFonts w:ascii="宋体" w:hAnsi="宋体" w:cs="宋体"/>
                <w:szCs w:val="21"/>
              </w:rPr>
            </w:pPr>
            <w:r>
              <w:rPr>
                <w:rFonts w:hint="eastAsia" w:ascii="宋体" w:hAnsi="宋体" w:cs="宋体"/>
                <w:szCs w:val="21"/>
              </w:rPr>
              <w:t>施工组织设计：20分</w:t>
            </w:r>
          </w:p>
          <w:p>
            <w:pPr>
              <w:spacing w:line="300" w:lineRule="auto"/>
              <w:rPr>
                <w:rFonts w:ascii="宋体" w:hAnsi="宋体" w:cs="宋体"/>
                <w:szCs w:val="21"/>
              </w:rPr>
            </w:pPr>
            <w:r>
              <w:rPr>
                <w:rFonts w:hint="eastAsia" w:ascii="宋体" w:hAnsi="宋体" w:cs="宋体"/>
                <w:szCs w:val="21"/>
              </w:rPr>
              <w:t>主要人员：</w:t>
            </w:r>
            <w:r>
              <w:rPr>
                <w:rFonts w:ascii="宋体" w:hAnsi="宋体" w:cs="宋体"/>
                <w:szCs w:val="21"/>
              </w:rPr>
              <w:t>10</w:t>
            </w:r>
            <w:r>
              <w:rPr>
                <w:rFonts w:hint="eastAsia" w:ascii="宋体" w:hAnsi="宋体" w:cs="宋体"/>
                <w:szCs w:val="21"/>
              </w:rPr>
              <w:t>分</w:t>
            </w:r>
          </w:p>
          <w:p>
            <w:pPr>
              <w:spacing w:line="300" w:lineRule="auto"/>
              <w:rPr>
                <w:rFonts w:ascii="宋体" w:hAnsi="宋体" w:cs="宋体"/>
                <w:szCs w:val="21"/>
              </w:rPr>
            </w:pPr>
            <w:r>
              <w:rPr>
                <w:rFonts w:ascii="宋体" w:hAnsi="宋体" w:cs="宋体"/>
                <w:szCs w:val="21"/>
              </w:rPr>
              <w:t>技术能力</w:t>
            </w:r>
            <w:r>
              <w:rPr>
                <w:rFonts w:hint="eastAsia" w:ascii="宋体" w:hAnsi="宋体" w:cs="宋体"/>
                <w:szCs w:val="21"/>
              </w:rPr>
              <w:t>：</w:t>
            </w:r>
            <w:r>
              <w:rPr>
                <w:rFonts w:ascii="宋体" w:hAnsi="宋体" w:cs="宋体"/>
                <w:szCs w:val="21"/>
              </w:rPr>
              <w:t>5</w:t>
            </w:r>
            <w:r>
              <w:rPr>
                <w:rFonts w:hint="eastAsia" w:ascii="宋体" w:hAnsi="宋体" w:cs="宋体"/>
                <w:szCs w:val="21"/>
              </w:rPr>
              <w:t>分</w:t>
            </w:r>
          </w:p>
          <w:p>
            <w:pPr>
              <w:spacing w:line="300" w:lineRule="auto"/>
              <w:rPr>
                <w:rFonts w:ascii="宋体" w:hAnsi="宋体" w:cs="宋体"/>
                <w:szCs w:val="21"/>
              </w:rPr>
            </w:pPr>
            <w:r>
              <w:rPr>
                <w:rFonts w:hint="eastAsia" w:ascii="宋体" w:hAnsi="宋体" w:cs="宋体"/>
                <w:szCs w:val="21"/>
              </w:rPr>
              <w:t>财务能力：5分</w:t>
            </w:r>
          </w:p>
          <w:p>
            <w:pPr>
              <w:spacing w:line="300" w:lineRule="auto"/>
              <w:rPr>
                <w:rFonts w:ascii="宋体" w:hAnsi="宋体" w:cs="宋体"/>
                <w:szCs w:val="21"/>
              </w:rPr>
            </w:pPr>
            <w:r>
              <w:rPr>
                <w:rFonts w:hint="eastAsia" w:ascii="宋体" w:hAnsi="宋体" w:cs="宋体"/>
                <w:szCs w:val="21"/>
              </w:rPr>
              <w:t>业绩：5分</w:t>
            </w:r>
          </w:p>
          <w:p>
            <w:pPr>
              <w:spacing w:line="300" w:lineRule="auto"/>
              <w:rPr>
                <w:rFonts w:ascii="宋体" w:hAnsi="宋体" w:cs="宋体"/>
                <w:szCs w:val="21"/>
              </w:rPr>
            </w:pPr>
            <w:r>
              <w:rPr>
                <w:rFonts w:hint="eastAsia" w:ascii="宋体" w:hAnsi="宋体" w:cs="宋体"/>
                <w:szCs w:val="21"/>
              </w:rPr>
              <w:t>履约信誉：</w:t>
            </w:r>
            <w:r>
              <w:rPr>
                <w:rFonts w:ascii="宋体" w:hAnsi="宋体" w:cs="宋体"/>
                <w:szCs w:val="21"/>
              </w:rPr>
              <w:t>5</w:t>
            </w:r>
            <w:r>
              <w:rPr>
                <w:rFonts w:hint="eastAsia" w:ascii="宋体" w:hAnsi="宋体" w:cs="宋体"/>
                <w:szCs w:val="21"/>
              </w:rPr>
              <w:t>分</w:t>
            </w:r>
          </w:p>
          <w:p>
            <w:pPr>
              <w:spacing w:line="300" w:lineRule="auto"/>
              <w:rPr>
                <w:rFonts w:ascii="宋体" w:hAnsi="宋体" w:cs="宋体"/>
                <w:szCs w:val="21"/>
              </w:rPr>
            </w:pPr>
            <w:r>
              <w:rPr>
                <w:rFonts w:hint="eastAsia" w:ascii="宋体" w:hAnsi="宋体" w:cs="宋体"/>
                <w:szCs w:val="21"/>
              </w:rPr>
              <w:t>第二个信封（报价文件）评分分值构成：</w:t>
            </w:r>
          </w:p>
          <w:p>
            <w:pPr>
              <w:spacing w:line="300" w:lineRule="auto"/>
              <w:rPr>
                <w:szCs w:val="21"/>
              </w:rPr>
            </w:pPr>
            <w:r>
              <w:rPr>
                <w:rFonts w:hint="eastAsia" w:ascii="宋体" w:hAnsi="宋体" w:cs="宋体"/>
                <w:szCs w:val="21"/>
              </w:rPr>
              <w:t>评标价：50分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109" w:type="dxa"/>
            <w:vAlign w:val="center"/>
          </w:tcPr>
          <w:p>
            <w:pPr>
              <w:spacing w:line="360" w:lineRule="auto"/>
              <w:jc w:val="center"/>
              <w:rPr>
                <w:szCs w:val="21"/>
              </w:rPr>
            </w:pPr>
            <w:r>
              <w:rPr>
                <w:rFonts w:hint="eastAsia" w:ascii="宋体" w:hAnsi="宋体" w:cs="宋体"/>
                <w:szCs w:val="21"/>
              </w:rPr>
              <w:t>2.2.2</w:t>
            </w:r>
          </w:p>
        </w:tc>
        <w:tc>
          <w:tcPr>
            <w:tcW w:w="1200" w:type="dxa"/>
            <w:vAlign w:val="center"/>
          </w:tcPr>
          <w:p>
            <w:pPr>
              <w:spacing w:line="300" w:lineRule="auto"/>
              <w:jc w:val="center"/>
              <w:rPr>
                <w:szCs w:val="21"/>
              </w:rPr>
            </w:pPr>
            <w:r>
              <w:rPr>
                <w:rFonts w:hint="eastAsia" w:ascii="宋体" w:hAnsi="宋体" w:cs="宋体"/>
                <w:szCs w:val="21"/>
              </w:rPr>
              <w:t>评标基准价计算方法</w:t>
            </w:r>
          </w:p>
        </w:tc>
        <w:tc>
          <w:tcPr>
            <w:tcW w:w="7007" w:type="dxa"/>
          </w:tcPr>
          <w:p>
            <w:pPr>
              <w:spacing w:line="300" w:lineRule="auto"/>
              <w:rPr>
                <w:szCs w:val="21"/>
              </w:rPr>
            </w:pPr>
            <w:r>
              <w:rPr>
                <w:rFonts w:hint="eastAsia" w:ascii="宋体" w:hAnsi="宋体" w:cs="宋体"/>
                <w:szCs w:val="21"/>
              </w:rPr>
              <w:t>评标基准价的计算：</w:t>
            </w:r>
          </w:p>
          <w:p>
            <w:pPr>
              <w:spacing w:line="300" w:lineRule="auto"/>
              <w:rPr>
                <w:szCs w:val="21"/>
              </w:rPr>
            </w:pPr>
            <w:r>
              <w:rPr>
                <w:rFonts w:hint="eastAsia" w:ascii="宋体" w:hAnsi="宋体" w:cs="宋体"/>
                <w:szCs w:val="21"/>
              </w:rPr>
              <w:t>在开标现场，招标人将当场计算并宣布评标基准价。</w:t>
            </w:r>
          </w:p>
          <w:p>
            <w:pPr>
              <w:spacing w:line="300" w:lineRule="auto"/>
              <w:rPr>
                <w:szCs w:val="21"/>
              </w:rPr>
            </w:pPr>
            <w:r>
              <w:rPr>
                <w:rFonts w:hint="eastAsia" w:ascii="宋体" w:hAnsi="宋体" w:cs="宋体"/>
                <w:szCs w:val="21"/>
              </w:rPr>
              <w:t>（1）评标价的确定：</w:t>
            </w:r>
          </w:p>
          <w:p>
            <w:pPr>
              <w:spacing w:line="300" w:lineRule="auto"/>
              <w:rPr>
                <w:szCs w:val="21"/>
              </w:rPr>
            </w:pPr>
            <w:r>
              <w:rPr>
                <w:rFonts w:hint="eastAsia" w:ascii="宋体" w:hAnsi="宋体" w:cs="宋体"/>
                <w:szCs w:val="21"/>
              </w:rPr>
              <w:t>评标价＝投标函文字报价</w:t>
            </w:r>
          </w:p>
          <w:p>
            <w:pPr>
              <w:spacing w:line="300" w:lineRule="auto"/>
              <w:rPr>
                <w:szCs w:val="21"/>
              </w:rPr>
            </w:pPr>
            <w:r>
              <w:rPr>
                <w:rFonts w:hint="eastAsia" w:ascii="宋体" w:hAnsi="宋体" w:cs="宋体"/>
                <w:szCs w:val="21"/>
              </w:rPr>
              <w:t>（2）评标价平均值的计算：</w:t>
            </w:r>
          </w:p>
          <w:p>
            <w:pPr>
              <w:spacing w:line="300" w:lineRule="auto"/>
              <w:rPr>
                <w:szCs w:val="21"/>
              </w:rPr>
            </w:pPr>
            <w:r>
              <w:rPr>
                <w:rFonts w:hint="eastAsia" w:ascii="宋体" w:hAnsi="宋体" w:cs="宋体"/>
                <w:szCs w:val="21"/>
              </w:rPr>
              <w:t>除按第二章“投标人须知”第 5.2.4 项规定开标现场被宣布为不进入评标基准价计算的投标报价之外，所有投标人的评标价去掉一个最高值和一个最低值后的算术平均值即为评标价平均值（如果参与评标价平均值计算的有效投标人少于 5 家时，则计算评标价平均值时不去掉最高值和最低值）；</w:t>
            </w:r>
          </w:p>
          <w:p>
            <w:pPr>
              <w:spacing w:line="300" w:lineRule="auto"/>
              <w:rPr>
                <w:szCs w:val="21"/>
              </w:rPr>
            </w:pPr>
            <w:r>
              <w:rPr>
                <w:rFonts w:hint="eastAsia" w:ascii="宋体" w:hAnsi="宋体" w:cs="宋体"/>
                <w:szCs w:val="21"/>
              </w:rPr>
              <w:t>（3）评标基准价的确定</w:t>
            </w:r>
          </w:p>
          <w:p>
            <w:pPr>
              <w:spacing w:line="300" w:lineRule="auto"/>
              <w:rPr>
                <w:szCs w:val="21"/>
              </w:rPr>
            </w:pPr>
            <w:r>
              <w:rPr>
                <w:rFonts w:hint="eastAsia" w:ascii="宋体" w:hAnsi="宋体" w:cs="宋体"/>
                <w:szCs w:val="21"/>
              </w:rPr>
              <w:t>招标人设置评标基准价系数，由投标人代表现场抽取K值</w:t>
            </w:r>
            <w:r>
              <w:rPr>
                <w:rFonts w:hint="eastAsia" w:ascii="宋体" w:hAnsi="宋体" w:cs="宋体"/>
                <w:szCs w:val="21"/>
                <w:highlight w:val="yellow"/>
              </w:rPr>
              <w:t>（1%、1.5%、2%、2.5%、3%）</w:t>
            </w:r>
            <w:r>
              <w:rPr>
                <w:rFonts w:hint="eastAsia" w:ascii="宋体" w:hAnsi="宋体" w:cs="宋体"/>
                <w:szCs w:val="21"/>
              </w:rPr>
              <w:t>，评标价平均值乘以（1-现场抽取的评标基准价系数）作为评标基准价。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109" w:type="dxa"/>
            <w:vAlign w:val="center"/>
          </w:tcPr>
          <w:p>
            <w:pPr>
              <w:spacing w:line="360" w:lineRule="auto"/>
              <w:jc w:val="center"/>
              <w:rPr>
                <w:szCs w:val="21"/>
              </w:rPr>
            </w:pPr>
            <w:r>
              <w:rPr>
                <w:rFonts w:hint="eastAsia" w:ascii="宋体" w:hAnsi="宋体" w:cs="宋体"/>
                <w:szCs w:val="21"/>
              </w:rPr>
              <w:t>2.2.3</w:t>
            </w:r>
          </w:p>
        </w:tc>
        <w:tc>
          <w:tcPr>
            <w:tcW w:w="1200" w:type="dxa"/>
            <w:vAlign w:val="center"/>
          </w:tcPr>
          <w:p>
            <w:pPr>
              <w:spacing w:line="300" w:lineRule="auto"/>
              <w:jc w:val="center"/>
              <w:rPr>
                <w:szCs w:val="21"/>
              </w:rPr>
            </w:pPr>
            <w:r>
              <w:rPr>
                <w:rFonts w:hint="eastAsia" w:ascii="宋体" w:hAnsi="宋体" w:cs="宋体"/>
                <w:szCs w:val="21"/>
              </w:rPr>
              <w:t>评标价的偏差率计算公式</w:t>
            </w:r>
          </w:p>
        </w:tc>
        <w:tc>
          <w:tcPr>
            <w:tcW w:w="7007" w:type="dxa"/>
            <w:vAlign w:val="center"/>
          </w:tcPr>
          <w:p>
            <w:pPr>
              <w:spacing w:line="300" w:lineRule="auto"/>
              <w:rPr>
                <w:szCs w:val="21"/>
              </w:rPr>
            </w:pPr>
            <w:r>
              <w:rPr>
                <w:rFonts w:hint="eastAsia" w:ascii="宋体" w:hAnsi="宋体" w:cs="宋体"/>
                <w:szCs w:val="21"/>
              </w:rPr>
              <w:t>偏差率=100% ×（投标人评标价－评标基准价）/评标基准价</w:t>
            </w:r>
          </w:p>
          <w:p>
            <w:pPr>
              <w:spacing w:line="300" w:lineRule="auto"/>
              <w:rPr>
                <w:szCs w:val="21"/>
              </w:rPr>
            </w:pPr>
            <w:r>
              <w:rPr>
                <w:rFonts w:hint="eastAsia" w:ascii="宋体" w:hAnsi="宋体" w:cs="宋体"/>
                <w:szCs w:val="21"/>
              </w:rPr>
              <w:t>偏差率保留</w:t>
            </w:r>
            <w:r>
              <w:rPr>
                <w:rFonts w:hint="eastAsia" w:ascii="宋体" w:hAnsi="宋体" w:cs="宋体"/>
                <w:szCs w:val="21"/>
                <w:u w:val="single"/>
              </w:rPr>
              <w:t xml:space="preserve"> 2 </w:t>
            </w:r>
            <w:r>
              <w:rPr>
                <w:rFonts w:hint="eastAsia" w:ascii="宋体" w:hAnsi="宋体" w:cs="宋体"/>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1" w:hRule="atLeast"/>
        </w:trPr>
        <w:tc>
          <w:tcPr>
            <w:tcW w:w="1109" w:type="dxa"/>
            <w:vAlign w:val="center"/>
          </w:tcPr>
          <w:p>
            <w:pPr>
              <w:spacing w:line="360" w:lineRule="auto"/>
              <w:jc w:val="center"/>
              <w:rPr>
                <w:szCs w:val="21"/>
              </w:rPr>
            </w:pPr>
            <w:r>
              <w:rPr>
                <w:rFonts w:hint="eastAsia" w:ascii="宋体" w:hAnsi="宋体" w:cs="宋体"/>
                <w:szCs w:val="21"/>
              </w:rPr>
              <w:t>2.2.4</w:t>
            </w:r>
          </w:p>
        </w:tc>
        <w:tc>
          <w:tcPr>
            <w:tcW w:w="1200" w:type="dxa"/>
            <w:vAlign w:val="center"/>
          </w:tcPr>
          <w:p>
            <w:pPr>
              <w:spacing w:line="300" w:lineRule="auto"/>
              <w:jc w:val="center"/>
              <w:rPr>
                <w:szCs w:val="21"/>
              </w:rPr>
            </w:pPr>
            <w:r>
              <w:rPr>
                <w:rFonts w:hint="eastAsia" w:ascii="宋体" w:hAnsi="宋体" w:cs="宋体"/>
                <w:szCs w:val="21"/>
              </w:rPr>
              <w:t>评标价</w:t>
            </w:r>
          </w:p>
        </w:tc>
        <w:tc>
          <w:tcPr>
            <w:tcW w:w="7007" w:type="dxa"/>
            <w:vAlign w:val="center"/>
          </w:tcPr>
          <w:p>
            <w:pPr>
              <w:spacing w:line="300" w:lineRule="auto"/>
              <w:rPr>
                <w:szCs w:val="21"/>
              </w:rPr>
            </w:pPr>
            <w:r>
              <w:rPr>
                <w:rFonts w:hint="eastAsia" w:ascii="宋体" w:hAnsi="宋体" w:cs="宋体"/>
                <w:szCs w:val="21"/>
              </w:rPr>
              <w:t>评标价得分计算公式示例：</w:t>
            </w:r>
          </w:p>
          <w:p>
            <w:pPr>
              <w:spacing w:line="300" w:lineRule="auto"/>
              <w:rPr>
                <w:szCs w:val="21"/>
              </w:rPr>
            </w:pPr>
            <w:r>
              <w:rPr>
                <w:rFonts w:hint="eastAsia" w:ascii="宋体" w:hAnsi="宋体" w:cs="宋体"/>
                <w:szCs w:val="21"/>
              </w:rPr>
              <w:t>（1）如果投标人的评标价&gt;评标基准价，则评标价得分＝F－偏差率×100×E1；</w:t>
            </w:r>
          </w:p>
          <w:p>
            <w:pPr>
              <w:spacing w:line="300" w:lineRule="auto"/>
              <w:rPr>
                <w:szCs w:val="21"/>
              </w:rPr>
            </w:pPr>
            <w:r>
              <w:rPr>
                <w:rFonts w:hint="eastAsia" w:ascii="宋体" w:hAnsi="宋体" w:cs="宋体"/>
                <w:szCs w:val="21"/>
              </w:rPr>
              <w:t>（2）如果投标人的评标价≤评标基准价，则评标价得分＝F＋偏差率×100×E2。</w:t>
            </w:r>
          </w:p>
          <w:p>
            <w:pPr>
              <w:spacing w:line="300" w:lineRule="auto"/>
              <w:rPr>
                <w:szCs w:val="21"/>
              </w:rPr>
            </w:pPr>
            <w:r>
              <w:rPr>
                <w:rFonts w:hint="eastAsia" w:ascii="宋体" w:hAnsi="宋体" w:cs="宋体"/>
                <w:szCs w:val="21"/>
              </w:rPr>
              <w:t>其中：F是评标价所占的权重分值（即50分），E1是评标价每高于评标基准价一个百分点的扣分值，E2是评标价每低于评标基准价一个百分点的扣分值；E1=1,E2=0.5,评标价得分保留2位小数。</w:t>
            </w:r>
          </w:p>
        </w:tc>
      </w:tr>
    </w:tbl>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p>
      <w:pPr>
        <w:ind w:right="420"/>
      </w:pPr>
    </w:p>
    <w:tbl>
      <w:tblPr>
        <w:tblStyle w:val="7"/>
        <w:tblW w:w="10710" w:type="dxa"/>
        <w:jc w:val="center"/>
        <w:tblInd w:w="0" w:type="dxa"/>
        <w:tblLayout w:type="fixed"/>
        <w:tblCellMar>
          <w:top w:w="0" w:type="dxa"/>
          <w:left w:w="108" w:type="dxa"/>
          <w:bottom w:w="0" w:type="dxa"/>
          <w:right w:w="108" w:type="dxa"/>
        </w:tblCellMar>
      </w:tblPr>
      <w:tblGrid>
        <w:gridCol w:w="595"/>
        <w:gridCol w:w="723"/>
        <w:gridCol w:w="646"/>
        <w:gridCol w:w="2312"/>
        <w:gridCol w:w="539"/>
        <w:gridCol w:w="5895"/>
      </w:tblGrid>
      <w:tr>
        <w:tblPrEx>
          <w:tblLayout w:type="fixed"/>
          <w:tblCellMar>
            <w:top w:w="0" w:type="dxa"/>
            <w:left w:w="108" w:type="dxa"/>
            <w:bottom w:w="0" w:type="dxa"/>
            <w:right w:w="108" w:type="dxa"/>
          </w:tblCellMar>
        </w:tblPrEx>
        <w:trPr>
          <w:trHeight w:val="415" w:hRule="atLeast"/>
          <w:jc w:val="center"/>
        </w:trPr>
        <w:tc>
          <w:tcPr>
            <w:tcW w:w="481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技术评分因素与权重分值</w:t>
            </w:r>
          </w:p>
        </w:tc>
        <w:tc>
          <w:tcPr>
            <w:tcW w:w="589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评分标准</w:t>
            </w:r>
          </w:p>
        </w:tc>
      </w:tr>
      <w:tr>
        <w:tblPrEx>
          <w:tblLayout w:type="fixed"/>
          <w:tblCellMar>
            <w:top w:w="0" w:type="dxa"/>
            <w:left w:w="108" w:type="dxa"/>
            <w:bottom w:w="0" w:type="dxa"/>
            <w:right w:w="108" w:type="dxa"/>
          </w:tblCellMar>
        </w:tblPrEx>
        <w:trPr>
          <w:trHeight w:val="395" w:hRule="atLeast"/>
          <w:jc w:val="center"/>
        </w:trPr>
        <w:tc>
          <w:tcPr>
            <w:tcW w:w="5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条款号</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评分因素</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权重分值</w:t>
            </w:r>
          </w:p>
        </w:tc>
        <w:tc>
          <w:tcPr>
            <w:tcW w:w="231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各评分因素细分项</w:t>
            </w:r>
          </w:p>
        </w:tc>
        <w:tc>
          <w:tcPr>
            <w:tcW w:w="53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分值</w:t>
            </w:r>
          </w:p>
        </w:tc>
        <w:tc>
          <w:tcPr>
            <w:tcW w:w="589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366" w:hRule="exact"/>
          <w:jc w:val="center"/>
        </w:trPr>
        <w:tc>
          <w:tcPr>
            <w:tcW w:w="59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2.2.4</w:t>
            </w:r>
          </w:p>
          <w:p>
            <w:pPr>
              <w:widowControl/>
              <w:jc w:val="center"/>
              <w:rPr>
                <w:rFonts w:ascii="宋体" w:hAnsi="宋体" w:cs="宋体"/>
                <w:kern w:val="0"/>
                <w:sz w:val="18"/>
                <w:szCs w:val="18"/>
              </w:rPr>
            </w:pPr>
            <w:r>
              <w:rPr>
                <w:rFonts w:hint="eastAsia" w:ascii="宋体" w:hAnsi="宋体" w:cs="宋体"/>
                <w:kern w:val="0"/>
                <w:sz w:val="18"/>
                <w:szCs w:val="18"/>
              </w:rPr>
              <w:t>（1、2、3）</w:t>
            </w:r>
          </w:p>
        </w:tc>
        <w:tc>
          <w:tcPr>
            <w:tcW w:w="72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施工组织</w:t>
            </w:r>
          </w:p>
          <w:p>
            <w:pPr>
              <w:widowControl/>
              <w:jc w:val="center"/>
              <w:rPr>
                <w:rFonts w:ascii="宋体" w:hAnsi="宋体" w:cs="宋体"/>
                <w:kern w:val="0"/>
                <w:sz w:val="18"/>
                <w:szCs w:val="18"/>
              </w:rPr>
            </w:pPr>
            <w:r>
              <w:rPr>
                <w:rFonts w:hint="eastAsia" w:ascii="宋体" w:hAnsi="宋体" w:cs="宋体"/>
                <w:kern w:val="0"/>
                <w:sz w:val="18"/>
                <w:szCs w:val="18"/>
              </w:rPr>
              <w:t>设计</w:t>
            </w:r>
          </w:p>
        </w:tc>
        <w:tc>
          <w:tcPr>
            <w:tcW w:w="6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20分</w:t>
            </w:r>
          </w:p>
        </w:tc>
        <w:tc>
          <w:tcPr>
            <w:tcW w:w="23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总体施工组织布置及规划</w:t>
            </w:r>
          </w:p>
        </w:tc>
        <w:tc>
          <w:tcPr>
            <w:tcW w:w="5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总体施工组织布置及规划合理得2分，否则酌情扣分；</w:t>
            </w:r>
          </w:p>
        </w:tc>
      </w:tr>
      <w:tr>
        <w:tblPrEx>
          <w:tblLayout w:type="fixed"/>
          <w:tblCellMar>
            <w:top w:w="0" w:type="dxa"/>
            <w:left w:w="108" w:type="dxa"/>
            <w:bottom w:w="0" w:type="dxa"/>
            <w:right w:w="108" w:type="dxa"/>
          </w:tblCellMar>
        </w:tblPrEx>
        <w:trPr>
          <w:trHeight w:val="427" w:hRule="exac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施工总平面图布置合理得2分，否则酌情扣分；</w:t>
            </w:r>
          </w:p>
        </w:tc>
      </w:tr>
      <w:tr>
        <w:tblPrEx>
          <w:tblLayout w:type="fixed"/>
          <w:tblCellMar>
            <w:top w:w="0" w:type="dxa"/>
            <w:left w:w="108" w:type="dxa"/>
            <w:bottom w:w="0" w:type="dxa"/>
            <w:right w:w="108" w:type="dxa"/>
          </w:tblCellMar>
        </w:tblPrEx>
        <w:trPr>
          <w:trHeight w:val="433" w:hRule="exac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主要工程项目的施工方案、方法及技术措施</w:t>
            </w:r>
          </w:p>
        </w:tc>
        <w:tc>
          <w:tcPr>
            <w:tcW w:w="5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施工方法先进得2分，一般得1分，否则酌情扣分；</w:t>
            </w:r>
          </w:p>
        </w:tc>
      </w:tr>
      <w:tr>
        <w:tblPrEx>
          <w:tblLayout w:type="fixed"/>
          <w:tblCellMar>
            <w:top w:w="0" w:type="dxa"/>
            <w:left w:w="108" w:type="dxa"/>
            <w:bottom w:w="0" w:type="dxa"/>
            <w:right w:w="108" w:type="dxa"/>
          </w:tblCellMar>
        </w:tblPrEx>
        <w:trPr>
          <w:trHeight w:val="368" w:hRule="exac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采用新工艺、新技术、新设备得1分，没有不得分；</w:t>
            </w:r>
          </w:p>
        </w:tc>
      </w:tr>
      <w:tr>
        <w:tblPrEx>
          <w:tblLayout w:type="fixed"/>
          <w:tblCellMar>
            <w:top w:w="0" w:type="dxa"/>
            <w:left w:w="108" w:type="dxa"/>
            <w:bottom w:w="0" w:type="dxa"/>
            <w:right w:w="108" w:type="dxa"/>
          </w:tblCellMar>
        </w:tblPrEx>
        <w:trPr>
          <w:trHeight w:val="735"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主要工程项目的施工方案齐全措施计划详尽得2分，一般得1分，否则酌情扣分；</w:t>
            </w:r>
          </w:p>
        </w:tc>
      </w:tr>
      <w:tr>
        <w:tblPrEx>
          <w:tblLayout w:type="fixed"/>
          <w:tblCellMar>
            <w:top w:w="0" w:type="dxa"/>
            <w:left w:w="108" w:type="dxa"/>
            <w:bottom w:w="0" w:type="dxa"/>
            <w:right w:w="108" w:type="dxa"/>
          </w:tblCellMar>
        </w:tblPrEx>
        <w:trPr>
          <w:trHeight w:val="407"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执行国家强制性条文、有切实可行的保证措施得1分，否则酌情扣分；</w:t>
            </w:r>
          </w:p>
        </w:tc>
      </w:tr>
      <w:tr>
        <w:tblPrEx>
          <w:tblLayout w:type="fixed"/>
          <w:tblCellMar>
            <w:top w:w="0" w:type="dxa"/>
            <w:left w:w="108" w:type="dxa"/>
            <w:bottom w:w="0" w:type="dxa"/>
            <w:right w:w="108" w:type="dxa"/>
          </w:tblCellMar>
        </w:tblPrEx>
        <w:trPr>
          <w:trHeight w:val="419"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工期保证体系及保证措施</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工期保证体系及保证措施健全得3分，否则酌情扣分；</w:t>
            </w:r>
          </w:p>
        </w:tc>
      </w:tr>
      <w:tr>
        <w:tblPrEx>
          <w:tblLayout w:type="fixed"/>
          <w:tblCellMar>
            <w:top w:w="0" w:type="dxa"/>
            <w:left w:w="108" w:type="dxa"/>
            <w:bottom w:w="0" w:type="dxa"/>
            <w:right w:w="108" w:type="dxa"/>
          </w:tblCellMar>
        </w:tblPrEx>
        <w:trPr>
          <w:trHeight w:val="335"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工程质量管理体系及保证措施</w:t>
            </w:r>
          </w:p>
        </w:tc>
        <w:tc>
          <w:tcPr>
            <w:tcW w:w="5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工程项目的质保体系健全得1分，否则酌情扣分；</w:t>
            </w:r>
          </w:p>
        </w:tc>
      </w:tr>
      <w:tr>
        <w:tblPrEx>
          <w:tblLayout w:type="fixed"/>
          <w:tblCellMar>
            <w:top w:w="0" w:type="dxa"/>
            <w:left w:w="108" w:type="dxa"/>
            <w:bottom w:w="0" w:type="dxa"/>
            <w:right w:w="108" w:type="dxa"/>
          </w:tblCellMar>
        </w:tblPrEx>
        <w:trPr>
          <w:trHeight w:val="419"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执行国家强制性条文、有切实可行的保证措施得1分，否则酌情扣分；</w:t>
            </w:r>
          </w:p>
        </w:tc>
      </w:tr>
      <w:tr>
        <w:tblPrEx>
          <w:tblLayout w:type="fixed"/>
          <w:tblCellMar>
            <w:top w:w="0" w:type="dxa"/>
            <w:left w:w="108" w:type="dxa"/>
            <w:bottom w:w="0" w:type="dxa"/>
            <w:right w:w="108" w:type="dxa"/>
          </w:tblCellMar>
        </w:tblPrEx>
        <w:trPr>
          <w:trHeight w:val="382"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制定了质量通病预防措施、措施可行得1分，否则酌情扣分；</w:t>
            </w:r>
          </w:p>
        </w:tc>
      </w:tr>
      <w:tr>
        <w:tblPrEx>
          <w:tblLayout w:type="fixed"/>
          <w:tblCellMar>
            <w:top w:w="0" w:type="dxa"/>
            <w:left w:w="108" w:type="dxa"/>
            <w:bottom w:w="0" w:type="dxa"/>
            <w:right w:w="108" w:type="dxa"/>
          </w:tblCellMar>
        </w:tblPrEx>
        <w:trPr>
          <w:trHeight w:val="108"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安全生产管理体系及保证措施</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安全体系健全有效得1分，否则酌情扣分；</w:t>
            </w:r>
          </w:p>
        </w:tc>
      </w:tr>
      <w:tr>
        <w:tblPrEx>
          <w:tblLayout w:type="fixed"/>
          <w:tblCellMar>
            <w:top w:w="0" w:type="dxa"/>
            <w:left w:w="108" w:type="dxa"/>
            <w:bottom w:w="0" w:type="dxa"/>
            <w:right w:w="108" w:type="dxa"/>
          </w:tblCellMar>
        </w:tblPrEx>
        <w:trPr>
          <w:trHeight w:val="522"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环境保护、水土保持保证体系及保证措施</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环境保护、水土保持保证体系及保证措施得力得1分，否则酌情扣分；</w:t>
            </w:r>
          </w:p>
        </w:tc>
      </w:tr>
      <w:tr>
        <w:tblPrEx>
          <w:tblLayout w:type="fixed"/>
          <w:tblCellMar>
            <w:top w:w="0" w:type="dxa"/>
            <w:left w:w="108" w:type="dxa"/>
            <w:bottom w:w="0" w:type="dxa"/>
            <w:right w:w="108" w:type="dxa"/>
          </w:tblCellMar>
        </w:tblPrEx>
        <w:trPr>
          <w:trHeight w:val="398" w:hRule="exac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文明施工、文物保护保证体系及保证措施</w:t>
            </w:r>
          </w:p>
        </w:tc>
        <w:tc>
          <w:tcPr>
            <w:tcW w:w="53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文明施工措施得力0.5分，否则酌情扣分；</w:t>
            </w:r>
          </w:p>
        </w:tc>
      </w:tr>
      <w:tr>
        <w:tblPrEx>
          <w:tblLayout w:type="fixed"/>
          <w:tblCellMar>
            <w:top w:w="0" w:type="dxa"/>
            <w:left w:w="108" w:type="dxa"/>
            <w:bottom w:w="0" w:type="dxa"/>
            <w:right w:w="108" w:type="dxa"/>
          </w:tblCellMar>
        </w:tblPrEx>
        <w:trPr>
          <w:trHeight w:val="458" w:hRule="exac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文物保护保证体系及保证措施得力得0.5分，否则酌情扣分；</w:t>
            </w:r>
          </w:p>
        </w:tc>
      </w:tr>
      <w:tr>
        <w:tblPrEx>
          <w:tblLayout w:type="fixed"/>
          <w:tblCellMar>
            <w:top w:w="0" w:type="dxa"/>
            <w:left w:w="108" w:type="dxa"/>
            <w:bottom w:w="0" w:type="dxa"/>
            <w:right w:w="108" w:type="dxa"/>
          </w:tblCellMar>
        </w:tblPrEx>
        <w:trPr>
          <w:trHeight w:val="183"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项目风险预测与防范，事故应急预案</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项目风险预测与防范合理，事故应急预案可行得1分，否则酌情扣分；</w:t>
            </w:r>
          </w:p>
        </w:tc>
      </w:tr>
      <w:tr>
        <w:tblPrEx>
          <w:tblLayout w:type="fixed"/>
          <w:tblCellMar>
            <w:top w:w="0" w:type="dxa"/>
            <w:left w:w="108" w:type="dxa"/>
            <w:bottom w:w="0" w:type="dxa"/>
            <w:right w:w="108" w:type="dxa"/>
          </w:tblCellMar>
        </w:tblPrEx>
        <w:trPr>
          <w:trHeight w:val="868"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 w:val="18"/>
                <w:szCs w:val="18"/>
              </w:rPr>
            </w:pPr>
            <w:r>
              <w:rPr>
                <w:rFonts w:ascii="宋体" w:hAnsi="宋体" w:cs="宋体"/>
                <w:kern w:val="0"/>
                <w:sz w:val="18"/>
                <w:szCs w:val="18"/>
              </w:rPr>
              <w:t>主要人员</w:t>
            </w:r>
          </w:p>
        </w:tc>
        <w:tc>
          <w:tcPr>
            <w:tcW w:w="6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分</w:t>
            </w: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项目经理任职资格与业绩</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具有3年以上（含3年）公路工程施工经验且至少承担过1个二级及以上等级公路工程项目施工的项目经理的得3分，每增加1条二级及以上等级公路工程项目经理业绩加1分,最多加2分。</w:t>
            </w:r>
          </w:p>
        </w:tc>
      </w:tr>
      <w:tr>
        <w:tblPrEx>
          <w:tblLayout w:type="fixed"/>
          <w:tblCellMar>
            <w:top w:w="0" w:type="dxa"/>
            <w:left w:w="108" w:type="dxa"/>
            <w:bottom w:w="0" w:type="dxa"/>
            <w:right w:w="108" w:type="dxa"/>
          </w:tblCellMar>
        </w:tblPrEx>
        <w:trPr>
          <w:trHeight w:val="821"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项目总工任职资格与业绩</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具有3年以上（含3年）公路工程施工经验且至少承担过1个二级及以上等级公路工程项目施工的项目经理的得3分，每增加1条二级及以上等级公路工程项目总工业绩加1分,最多加2分。</w:t>
            </w:r>
          </w:p>
        </w:tc>
      </w:tr>
      <w:tr>
        <w:tblPrEx>
          <w:tblLayout w:type="fixed"/>
          <w:tblCellMar>
            <w:top w:w="0" w:type="dxa"/>
            <w:left w:w="108" w:type="dxa"/>
            <w:bottom w:w="0" w:type="dxa"/>
            <w:right w:w="108" w:type="dxa"/>
          </w:tblCellMar>
        </w:tblPrEx>
        <w:trPr>
          <w:trHeight w:val="815"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ascii="宋体" w:hAnsi="宋体" w:cs="宋体"/>
                <w:kern w:val="0"/>
                <w:sz w:val="18"/>
                <w:szCs w:val="18"/>
              </w:rPr>
              <w:t>技术能力</w:t>
            </w:r>
          </w:p>
        </w:tc>
        <w:tc>
          <w:tcPr>
            <w:tcW w:w="6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分</w:t>
            </w:r>
          </w:p>
        </w:tc>
        <w:tc>
          <w:tcPr>
            <w:tcW w:w="231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投标人的科研开发能力和技术创新能力</w:t>
            </w:r>
          </w:p>
        </w:tc>
        <w:tc>
          <w:tcPr>
            <w:tcW w:w="539"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分</w:t>
            </w:r>
          </w:p>
        </w:tc>
        <w:tc>
          <w:tcPr>
            <w:tcW w:w="5895"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18"/>
                <w:szCs w:val="18"/>
              </w:rPr>
            </w:pPr>
            <w:r>
              <w:rPr>
                <w:rFonts w:hint="eastAsia" w:ascii="宋体" w:hAnsi="宋体" w:cs="宋体"/>
                <w:kern w:val="0"/>
                <w:sz w:val="18"/>
                <w:szCs w:val="18"/>
              </w:rPr>
              <w:t>投标人获得与项目施工有关国家级工法、专利、国家或省级科学技术进步奖的加</w:t>
            </w:r>
            <w:r>
              <w:rPr>
                <w:rFonts w:ascii="宋体" w:hAnsi="宋体" w:cs="宋体"/>
                <w:kern w:val="0"/>
                <w:sz w:val="18"/>
                <w:szCs w:val="18"/>
              </w:rPr>
              <w:t>3</w:t>
            </w:r>
            <w:r>
              <w:rPr>
                <w:rFonts w:hint="eastAsia" w:ascii="宋体" w:hAnsi="宋体" w:cs="宋体"/>
                <w:kern w:val="0"/>
                <w:sz w:val="18"/>
                <w:szCs w:val="18"/>
              </w:rPr>
              <w:t>分，每多一个奖项加</w:t>
            </w:r>
            <w:r>
              <w:rPr>
                <w:rFonts w:ascii="宋体" w:hAnsi="宋体" w:cs="宋体"/>
                <w:kern w:val="0"/>
                <w:sz w:val="18"/>
                <w:szCs w:val="18"/>
              </w:rPr>
              <w:t>1</w:t>
            </w:r>
            <w:r>
              <w:rPr>
                <w:rFonts w:hint="eastAsia" w:ascii="宋体" w:hAnsi="宋体" w:cs="宋体"/>
                <w:kern w:val="0"/>
                <w:sz w:val="18"/>
                <w:szCs w:val="18"/>
              </w:rPr>
              <w:t>分，最多得</w:t>
            </w:r>
            <w:r>
              <w:rPr>
                <w:rFonts w:ascii="宋体" w:hAnsi="宋体" w:cs="宋体"/>
                <w:kern w:val="0"/>
                <w:sz w:val="18"/>
                <w:szCs w:val="18"/>
              </w:rPr>
              <w:t>2</w:t>
            </w:r>
            <w:r>
              <w:rPr>
                <w:rFonts w:hint="eastAsia" w:ascii="宋体" w:hAnsi="宋体" w:cs="宋体"/>
                <w:kern w:val="0"/>
                <w:sz w:val="18"/>
                <w:szCs w:val="18"/>
              </w:rPr>
              <w:t>分。</w:t>
            </w:r>
          </w:p>
        </w:tc>
      </w:tr>
      <w:tr>
        <w:tblPrEx>
          <w:tblLayout w:type="fixed"/>
          <w:tblCellMar>
            <w:top w:w="0" w:type="dxa"/>
            <w:left w:w="108" w:type="dxa"/>
            <w:bottom w:w="0" w:type="dxa"/>
            <w:right w:w="108" w:type="dxa"/>
          </w:tblCellMar>
        </w:tblPrEx>
        <w:trPr>
          <w:trHeight w:val="398"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履约信誉</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分</w:t>
            </w:r>
          </w:p>
        </w:tc>
        <w:tc>
          <w:tcPr>
            <w:tcW w:w="2312"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1.5分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投标人工未处于责令停业的行政处罚或正处于财务被冻结，破产状态；</w:t>
            </w:r>
          </w:p>
        </w:tc>
      </w:tr>
      <w:tr>
        <w:tblPrEx>
          <w:tblLayout w:type="fixed"/>
          <w:tblCellMar>
            <w:top w:w="0" w:type="dxa"/>
            <w:left w:w="108" w:type="dxa"/>
            <w:bottom w:w="0" w:type="dxa"/>
            <w:right w:w="108" w:type="dxa"/>
          </w:tblCellMar>
        </w:tblPrEx>
        <w:trPr>
          <w:trHeight w:val="768"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r>
              <w:rPr>
                <w:rFonts w:hint="eastAsia" w:ascii="宋体" w:hAnsi="宋体" w:cs="宋体"/>
                <w:kern w:val="0"/>
                <w:sz w:val="18"/>
                <w:szCs w:val="18"/>
              </w:rPr>
              <w:t>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投标人没有涉及正在诉讼的案件，或涉及正在诉讼的案件但经评审委员会认定不会对承担项目造成重大影响；</w:t>
            </w:r>
          </w:p>
        </w:tc>
      </w:tr>
      <w:tr>
        <w:tblPrEx>
          <w:tblLayout w:type="fixed"/>
          <w:tblCellMar>
            <w:top w:w="0" w:type="dxa"/>
            <w:left w:w="108" w:type="dxa"/>
            <w:bottom w:w="0" w:type="dxa"/>
            <w:right w:w="108" w:type="dxa"/>
          </w:tblCellMar>
        </w:tblPrEx>
        <w:trPr>
          <w:trHeight w:val="323"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3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2分</w:t>
            </w:r>
          </w:p>
        </w:tc>
        <w:tc>
          <w:tcPr>
            <w:tcW w:w="589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sz w:val="18"/>
                <w:szCs w:val="18"/>
              </w:rPr>
              <w:t>在2017年度全国或2017年度新疆兵团（最新）公路工程施工企业</w:t>
            </w:r>
            <w:r>
              <w:rPr>
                <w:rFonts w:hint="eastAsia" w:ascii="宋体" w:hAnsi="宋体" w:cs="宋体"/>
                <w:kern w:val="0"/>
                <w:sz w:val="18"/>
                <w:szCs w:val="18"/>
              </w:rPr>
              <w:t>信用评价等级为AA级得2分；</w:t>
            </w:r>
            <w:r>
              <w:rPr>
                <w:rFonts w:hint="eastAsia" w:ascii="宋体" w:hAnsi="宋体" w:cs="宋体"/>
                <w:sz w:val="18"/>
                <w:szCs w:val="18"/>
              </w:rPr>
              <w:t>为A级的得1分；为B级的得0分；</w:t>
            </w:r>
            <w:r>
              <w:rPr>
                <w:rFonts w:hint="eastAsia" w:ascii="宋体" w:hAnsi="宋体" w:cs="宋体"/>
                <w:kern w:val="0"/>
                <w:sz w:val="18"/>
                <w:szCs w:val="18"/>
              </w:rPr>
              <w:t>如信用评价等级结果不一致时，以获得的最高信用评价等级为准；</w:t>
            </w:r>
          </w:p>
        </w:tc>
      </w:tr>
      <w:tr>
        <w:tblPrEx>
          <w:tblLayout w:type="fixed"/>
          <w:tblCellMar>
            <w:top w:w="0" w:type="dxa"/>
            <w:left w:w="108" w:type="dxa"/>
            <w:bottom w:w="0" w:type="dxa"/>
            <w:right w:w="108" w:type="dxa"/>
          </w:tblCellMar>
        </w:tblPrEx>
        <w:trPr>
          <w:trHeight w:val="977"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业绩</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5分</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近三年内独立完成二级及以上等级公路项目</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5分</w:t>
            </w:r>
          </w:p>
        </w:tc>
        <w:tc>
          <w:tcPr>
            <w:tcW w:w="58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近三年内曾独立完成1条单个合同段长度不小于5km二级及以上公路项目得3分，每增加1条5km二级及以上公路施工业绩加0.5分，最多加2分。</w:t>
            </w:r>
          </w:p>
        </w:tc>
      </w:tr>
      <w:tr>
        <w:tblPrEx>
          <w:tblLayout w:type="fixed"/>
          <w:tblCellMar>
            <w:top w:w="0" w:type="dxa"/>
            <w:left w:w="108" w:type="dxa"/>
            <w:bottom w:w="0" w:type="dxa"/>
            <w:right w:w="108" w:type="dxa"/>
          </w:tblCellMar>
        </w:tblPrEx>
        <w:trPr>
          <w:trHeight w:val="977" w:hRule="atLeast"/>
          <w:jc w:val="center"/>
        </w:trPr>
        <w:tc>
          <w:tcPr>
            <w:tcW w:w="59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财务能力</w:t>
            </w: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5分</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投标人近三年内年平均营业额不应小于</w:t>
            </w:r>
            <w:r>
              <w:rPr>
                <w:rFonts w:ascii="宋体" w:hAnsi="宋体" w:cs="宋体"/>
                <w:kern w:val="0"/>
                <w:sz w:val="18"/>
                <w:szCs w:val="18"/>
              </w:rPr>
              <w:t>3000</w:t>
            </w:r>
            <w:r>
              <w:rPr>
                <w:rFonts w:hint="eastAsia" w:ascii="宋体" w:hAnsi="宋体" w:cs="宋体"/>
                <w:kern w:val="0"/>
                <w:sz w:val="18"/>
                <w:szCs w:val="18"/>
              </w:rPr>
              <w:t>万元人民币</w:t>
            </w:r>
          </w:p>
        </w:tc>
        <w:tc>
          <w:tcPr>
            <w:tcW w:w="5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5分</w:t>
            </w:r>
          </w:p>
        </w:tc>
        <w:tc>
          <w:tcPr>
            <w:tcW w:w="58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投标人近三年内年平均营业额不小于</w:t>
            </w:r>
            <w:r>
              <w:rPr>
                <w:rFonts w:ascii="宋体" w:hAnsi="宋体" w:cs="宋体"/>
                <w:kern w:val="0"/>
                <w:sz w:val="18"/>
                <w:szCs w:val="18"/>
              </w:rPr>
              <w:t>3000</w:t>
            </w:r>
            <w:r>
              <w:rPr>
                <w:rFonts w:hint="eastAsia" w:ascii="宋体" w:hAnsi="宋体" w:cs="宋体"/>
                <w:kern w:val="0"/>
                <w:sz w:val="18"/>
                <w:szCs w:val="18"/>
              </w:rPr>
              <w:t>万元人民币得3分，每增加</w:t>
            </w:r>
            <w:r>
              <w:rPr>
                <w:rFonts w:ascii="宋体" w:hAnsi="宋体" w:cs="宋体"/>
                <w:kern w:val="0"/>
                <w:sz w:val="18"/>
                <w:szCs w:val="18"/>
              </w:rPr>
              <w:t>1000</w:t>
            </w:r>
            <w:r>
              <w:rPr>
                <w:rFonts w:hint="eastAsia" w:ascii="宋体" w:hAnsi="宋体" w:cs="宋体"/>
                <w:kern w:val="0"/>
                <w:sz w:val="18"/>
                <w:szCs w:val="18"/>
              </w:rPr>
              <w:t>万加0.5分（不足</w:t>
            </w:r>
            <w:r>
              <w:rPr>
                <w:rFonts w:ascii="宋体" w:hAnsi="宋体" w:cs="宋体"/>
                <w:kern w:val="0"/>
                <w:sz w:val="18"/>
                <w:szCs w:val="18"/>
              </w:rPr>
              <w:t>1000</w:t>
            </w:r>
            <w:r>
              <w:rPr>
                <w:rFonts w:hint="eastAsia" w:ascii="宋体" w:hAnsi="宋体" w:cs="宋体"/>
                <w:kern w:val="0"/>
                <w:sz w:val="18"/>
                <w:szCs w:val="18"/>
              </w:rPr>
              <w:t>万不加分），最多加2分。</w:t>
            </w:r>
          </w:p>
        </w:tc>
      </w:tr>
      <w:tr>
        <w:tblPrEx>
          <w:tblLayout w:type="fixed"/>
          <w:tblCellMar>
            <w:top w:w="0" w:type="dxa"/>
            <w:left w:w="108" w:type="dxa"/>
            <w:bottom w:w="0" w:type="dxa"/>
            <w:right w:w="108" w:type="dxa"/>
          </w:tblCellMar>
        </w:tblPrEx>
        <w:trPr>
          <w:trHeight w:val="2534" w:hRule="atLeast"/>
          <w:jc w:val="center"/>
        </w:trPr>
        <w:tc>
          <w:tcPr>
            <w:tcW w:w="10710" w:type="dxa"/>
            <w:gridSpan w:val="6"/>
            <w:tcBorders>
              <w:top w:val="single" w:color="auto" w:sz="4" w:space="0"/>
              <w:left w:val="single" w:color="auto" w:sz="4" w:space="0"/>
              <w:bottom w:val="single" w:color="auto" w:sz="4" w:space="0"/>
              <w:right w:val="single" w:color="auto" w:sz="4" w:space="0"/>
            </w:tcBorders>
            <w:vAlign w:val="center"/>
          </w:tcPr>
          <w:p>
            <w:pPr>
              <w:pStyle w:val="3"/>
              <w:spacing w:line="300" w:lineRule="auto"/>
              <w:rPr>
                <w:rFonts w:hAnsi="宋体"/>
                <w:szCs w:val="21"/>
              </w:rPr>
            </w:pPr>
            <w:r>
              <w:rPr>
                <w:rFonts w:hint="eastAsia" w:hAnsi="宋体" w:cs="宋体"/>
                <w:szCs w:val="21"/>
              </w:rPr>
              <w:t>需要补充的其他内容：</w:t>
            </w:r>
          </w:p>
          <w:p>
            <w:pPr>
              <w:pStyle w:val="3"/>
              <w:spacing w:line="300" w:lineRule="auto"/>
              <w:rPr>
                <w:rFonts w:hAnsi="宋体"/>
                <w:szCs w:val="21"/>
              </w:rPr>
            </w:pPr>
            <w:r>
              <w:rPr>
                <w:rFonts w:hint="eastAsia" w:hAnsi="宋体" w:cs="宋体"/>
                <w:szCs w:val="21"/>
              </w:rPr>
              <w:t>1、投标文件第一个信封（商务及技术文件）中不得出现有关投标报价的内容，否则评标委员会将对投标文件第一个信封（商务及技术文件）作否决投标处理。</w:t>
            </w:r>
          </w:p>
          <w:p>
            <w:pPr>
              <w:spacing w:line="300" w:lineRule="auto"/>
              <w:rPr>
                <w:rFonts w:ascii="宋体" w:hAnsi="宋体" w:cs="宋体"/>
                <w:szCs w:val="21"/>
              </w:rPr>
            </w:pPr>
            <w:r>
              <w:rPr>
                <w:rFonts w:hint="eastAsia" w:ascii="宋体" w:hAnsi="宋体" w:cs="宋体"/>
                <w:szCs w:val="21"/>
              </w:rPr>
              <w:t>2、形式评审与响应性评审标准中有关报价条款内容，在第二个信封（投标报价和工程量清单）开标后进行评审。</w:t>
            </w:r>
          </w:p>
          <w:p>
            <w:pPr>
              <w:widowControl/>
              <w:jc w:val="left"/>
              <w:rPr>
                <w:rFonts w:ascii="宋体" w:hAnsi="宋体" w:cs="宋体"/>
                <w:kern w:val="0"/>
                <w:sz w:val="18"/>
                <w:szCs w:val="18"/>
              </w:rPr>
            </w:pPr>
            <w:r>
              <w:rPr>
                <w:rFonts w:hint="eastAsia" w:ascii="宋体" w:hAnsi="宋体" w:cs="宋体"/>
                <w:szCs w:val="21"/>
              </w:rPr>
              <w:t>3、</w:t>
            </w:r>
            <w:r>
              <w:rPr>
                <w:rFonts w:hint="eastAsia"/>
              </w:rPr>
              <w:t>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tc>
      </w:tr>
    </w:tbl>
    <w:p>
      <w:pPr>
        <w:spacing w:line="400" w:lineRule="exact"/>
        <w:rPr>
          <w:b/>
          <w:sz w:val="28"/>
          <w:szCs w:val="28"/>
        </w:rPr>
      </w:pPr>
      <w:bookmarkStart w:id="16" w:name="_Toc17956_WPSOffice_Level2"/>
      <w:r>
        <w:rPr>
          <w:rFonts w:hint="eastAsia" w:ascii="宋体" w:hAnsi="宋体" w:cs="宋体"/>
          <w:b/>
          <w:sz w:val="28"/>
          <w:szCs w:val="28"/>
        </w:rPr>
        <w:t>1．评标方法</w:t>
      </w:r>
      <w:bookmarkEnd w:id="16"/>
    </w:p>
    <w:p>
      <w:pPr>
        <w:spacing w:line="400" w:lineRule="exact"/>
        <w:ind w:firstLine="480" w:firstLineChars="200"/>
        <w:rPr>
          <w:rFonts w:ascii="宋体" w:hAnsi="宋体" w:cs="仿宋"/>
          <w:sz w:val="24"/>
        </w:rPr>
      </w:pPr>
      <w:bookmarkStart w:id="17" w:name="_Toc7053_WPSOffice_Level2"/>
      <w:r>
        <w:rPr>
          <w:rFonts w:hint="eastAsia" w:ascii="宋体" w:hAnsi="宋体" w:cs="仿宋"/>
          <w:sz w:val="24"/>
        </w:rPr>
        <w:t>本次评标采用综合评分法。评标委员会对满足招标文件实质性要求的投标文件，按照本章第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400" w:lineRule="exact"/>
        <w:rPr>
          <w:b/>
          <w:sz w:val="28"/>
          <w:szCs w:val="28"/>
        </w:rPr>
      </w:pPr>
      <w:r>
        <w:rPr>
          <w:rFonts w:hint="eastAsia" w:ascii="宋体" w:hAnsi="宋体" w:cs="宋体"/>
          <w:b/>
          <w:sz w:val="28"/>
          <w:szCs w:val="28"/>
        </w:rPr>
        <w:t>2．评审标准</w:t>
      </w:r>
      <w:bookmarkEnd w:id="17"/>
    </w:p>
    <w:p>
      <w:pPr>
        <w:spacing w:line="400" w:lineRule="exact"/>
        <w:ind w:firstLine="240" w:firstLineChars="100"/>
        <w:rPr>
          <w:sz w:val="24"/>
        </w:rPr>
      </w:pPr>
      <w:bookmarkStart w:id="18" w:name="_Toc30933_WPSOffice_Level3"/>
      <w:r>
        <w:rPr>
          <w:rFonts w:hint="eastAsia" w:ascii="宋体" w:hAnsi="宋体" w:cs="宋体"/>
          <w:b/>
          <w:bCs/>
          <w:sz w:val="24"/>
        </w:rPr>
        <w:t>2．1  初步评审标准</w:t>
      </w:r>
      <w:bookmarkEnd w:id="18"/>
    </w:p>
    <w:p>
      <w:pPr>
        <w:spacing w:line="400" w:lineRule="exact"/>
        <w:rPr>
          <w:sz w:val="24"/>
        </w:rPr>
      </w:pPr>
      <w:r>
        <w:rPr>
          <w:rFonts w:hint="eastAsia" w:ascii="宋体" w:hAnsi="宋体" w:cs="宋体"/>
          <w:sz w:val="24"/>
        </w:rPr>
        <w:t xml:space="preserve">   </w:t>
      </w:r>
      <w:r>
        <w:rPr>
          <w:rFonts w:hint="eastAsia" w:ascii="宋体" w:hAnsi="宋体" w:cs="宋体"/>
          <w:b/>
          <w:bCs/>
          <w:sz w:val="24"/>
        </w:rPr>
        <w:t xml:space="preserve"> 2．1．1 </w:t>
      </w:r>
      <w:r>
        <w:rPr>
          <w:rFonts w:hint="eastAsia" w:ascii="宋体" w:hAnsi="宋体" w:cs="宋体"/>
          <w:sz w:val="24"/>
        </w:rPr>
        <w:t>形式评审标准与响应评审标准：见资格预审文件第三章“资格审查办法”详细审查标准。</w:t>
      </w:r>
      <w:r>
        <w:rPr>
          <w:rFonts w:hint="eastAsia" w:ascii="宋体" w:hAnsi="宋体" w:cs="宋体"/>
          <w:b/>
          <w:bCs/>
          <w:sz w:val="24"/>
        </w:rPr>
        <w:t xml:space="preserve">      </w:t>
      </w:r>
      <w:r>
        <w:rPr>
          <w:rFonts w:hint="eastAsia" w:ascii="宋体" w:hAnsi="宋体" w:cs="宋体"/>
          <w:sz w:val="24"/>
        </w:rPr>
        <w:t xml:space="preserve"> </w:t>
      </w:r>
    </w:p>
    <w:p>
      <w:pPr>
        <w:spacing w:line="400" w:lineRule="exact"/>
        <w:ind w:firstLine="480" w:firstLineChars="200"/>
        <w:rPr>
          <w:sz w:val="24"/>
        </w:rPr>
      </w:pPr>
      <w:r>
        <w:rPr>
          <w:rFonts w:hint="eastAsia" w:ascii="宋体" w:hAnsi="宋体" w:cs="宋体"/>
          <w:b/>
          <w:bCs/>
          <w:sz w:val="24"/>
        </w:rPr>
        <w:t>2．1．2</w:t>
      </w:r>
      <w:r>
        <w:rPr>
          <w:rFonts w:hint="eastAsia" w:ascii="宋体" w:hAnsi="宋体" w:cs="宋体"/>
          <w:sz w:val="24"/>
        </w:rPr>
        <w:t>资格评审标准：见资格预审文件第三章“资格审查办法”详细审查标准。</w:t>
      </w:r>
    </w:p>
    <w:p>
      <w:pPr>
        <w:spacing w:line="400" w:lineRule="exact"/>
        <w:rPr>
          <w:sz w:val="24"/>
        </w:rPr>
      </w:pPr>
      <w:r>
        <w:rPr>
          <w:rFonts w:hint="eastAsia" w:ascii="宋体" w:hAnsi="宋体" w:cs="宋体"/>
          <w:sz w:val="24"/>
        </w:rPr>
        <w:t xml:space="preserve">   </w:t>
      </w:r>
      <w:r>
        <w:rPr>
          <w:rFonts w:hint="eastAsia" w:ascii="宋体" w:hAnsi="宋体" w:cs="宋体"/>
          <w:b/>
          <w:bCs/>
          <w:sz w:val="24"/>
        </w:rPr>
        <w:t xml:space="preserve"> 2．1．3 </w:t>
      </w:r>
      <w:r>
        <w:rPr>
          <w:rFonts w:hint="eastAsia" w:ascii="宋体" w:hAnsi="宋体" w:cs="宋体"/>
          <w:sz w:val="24"/>
        </w:rPr>
        <w:t>形式评审标准与响应评审标准：见资格预审文件第三章“资格审查办法”详细审查标准。</w:t>
      </w:r>
      <w:r>
        <w:rPr>
          <w:rFonts w:hint="eastAsia" w:ascii="宋体" w:hAnsi="宋体" w:cs="宋体"/>
          <w:b/>
          <w:bCs/>
          <w:sz w:val="24"/>
        </w:rPr>
        <w:t xml:space="preserve"> </w:t>
      </w:r>
      <w:r>
        <w:rPr>
          <w:rFonts w:hint="eastAsia" w:ascii="宋体" w:hAnsi="宋体" w:cs="宋体"/>
          <w:sz w:val="24"/>
        </w:rPr>
        <w:t xml:space="preserve"> </w:t>
      </w:r>
    </w:p>
    <w:p>
      <w:pPr>
        <w:spacing w:line="400" w:lineRule="exact"/>
        <w:ind w:firstLine="240" w:firstLineChars="100"/>
        <w:rPr>
          <w:b/>
          <w:bCs/>
          <w:sz w:val="24"/>
        </w:rPr>
      </w:pPr>
      <w:bookmarkStart w:id="19" w:name="_Toc6167_WPSOffice_Level3"/>
      <w:r>
        <w:rPr>
          <w:rFonts w:hint="eastAsia" w:ascii="宋体" w:hAnsi="宋体" w:cs="宋体"/>
          <w:b/>
          <w:bCs/>
          <w:sz w:val="24"/>
        </w:rPr>
        <w:t>2．2  分值构成与评分标准</w:t>
      </w:r>
      <w:bookmarkEnd w:id="19"/>
    </w:p>
    <w:p>
      <w:pPr>
        <w:spacing w:line="400" w:lineRule="exact"/>
        <w:ind w:firstLine="480"/>
        <w:rPr>
          <w:b/>
          <w:bCs/>
          <w:sz w:val="24"/>
        </w:rPr>
      </w:pPr>
      <w:r>
        <w:rPr>
          <w:rFonts w:hint="eastAsia" w:ascii="宋体" w:hAnsi="宋体" w:cs="宋体"/>
          <w:b/>
          <w:bCs/>
          <w:sz w:val="24"/>
        </w:rPr>
        <w:t>2．2．1  分值构成</w:t>
      </w:r>
    </w:p>
    <w:p>
      <w:pPr>
        <w:numPr>
          <w:ilvl w:val="0"/>
          <w:numId w:val="2"/>
        </w:numPr>
        <w:spacing w:line="400" w:lineRule="exact"/>
        <w:rPr>
          <w:rFonts w:ascii="宋体" w:hAnsi="宋体" w:cs="宋体"/>
          <w:sz w:val="24"/>
        </w:rPr>
      </w:pPr>
      <w:r>
        <w:rPr>
          <w:rFonts w:hint="eastAsia" w:ascii="宋体" w:hAnsi="宋体" w:cs="宋体"/>
          <w:sz w:val="24"/>
        </w:rPr>
        <w:t>施工组织设计：见评标办法前附表；</w:t>
      </w:r>
    </w:p>
    <w:p>
      <w:pPr>
        <w:numPr>
          <w:ilvl w:val="0"/>
          <w:numId w:val="2"/>
        </w:numPr>
        <w:spacing w:line="400" w:lineRule="exact"/>
        <w:rPr>
          <w:rFonts w:ascii="宋体" w:hAnsi="宋体" w:cs="宋体"/>
          <w:sz w:val="24"/>
        </w:rPr>
      </w:pPr>
      <w:r>
        <w:rPr>
          <w:rFonts w:hint="eastAsia" w:ascii="宋体" w:hAnsi="宋体" w:cs="宋体"/>
          <w:sz w:val="24"/>
        </w:rPr>
        <w:t>主要人员：见评标办法前附表；</w:t>
      </w:r>
    </w:p>
    <w:p>
      <w:pPr>
        <w:numPr>
          <w:ilvl w:val="0"/>
          <w:numId w:val="2"/>
        </w:numPr>
        <w:spacing w:line="400" w:lineRule="exact"/>
        <w:rPr>
          <w:rFonts w:ascii="宋体" w:hAnsi="宋体" w:cs="宋体"/>
          <w:sz w:val="24"/>
        </w:rPr>
      </w:pPr>
      <w:r>
        <w:rPr>
          <w:rFonts w:hint="eastAsia" w:ascii="宋体" w:hAnsi="宋体" w:cs="宋体"/>
          <w:sz w:val="24"/>
        </w:rPr>
        <w:t>评标价：见评标办法前附表；</w:t>
      </w:r>
    </w:p>
    <w:p>
      <w:pPr>
        <w:numPr>
          <w:ilvl w:val="0"/>
          <w:numId w:val="2"/>
        </w:numPr>
        <w:spacing w:line="400" w:lineRule="exact"/>
        <w:rPr>
          <w:rFonts w:ascii="宋体" w:hAnsi="宋体" w:cs="宋体"/>
          <w:sz w:val="24"/>
        </w:rPr>
      </w:pPr>
      <w:r>
        <w:rPr>
          <w:rFonts w:hint="eastAsia" w:ascii="宋体" w:hAnsi="宋体" w:cs="宋体"/>
          <w:sz w:val="24"/>
        </w:rPr>
        <w:t>其他评分因素：见评标办法前附表。</w:t>
      </w:r>
    </w:p>
    <w:p>
      <w:pPr>
        <w:spacing w:line="400" w:lineRule="exact"/>
        <w:ind w:firstLine="480"/>
        <w:rPr>
          <w:b/>
          <w:bCs/>
          <w:sz w:val="24"/>
        </w:rPr>
      </w:pPr>
      <w:r>
        <w:rPr>
          <w:rFonts w:hint="eastAsia" w:ascii="宋体" w:hAnsi="宋体" w:cs="宋体"/>
          <w:b/>
          <w:bCs/>
          <w:sz w:val="24"/>
        </w:rPr>
        <w:t>2．2．2  评标基准价计算</w:t>
      </w:r>
    </w:p>
    <w:p>
      <w:pPr>
        <w:spacing w:line="400" w:lineRule="exact"/>
        <w:ind w:firstLine="480"/>
        <w:rPr>
          <w:sz w:val="24"/>
        </w:rPr>
      </w:pPr>
      <w:r>
        <w:rPr>
          <w:rFonts w:hint="eastAsia" w:ascii="宋体" w:hAnsi="宋体" w:cs="宋体"/>
          <w:sz w:val="24"/>
        </w:rPr>
        <w:t>评标基准价计算方法：见评标办法前附表。</w:t>
      </w:r>
    </w:p>
    <w:p>
      <w:pPr>
        <w:spacing w:line="400" w:lineRule="exact"/>
        <w:ind w:firstLine="480"/>
        <w:rPr>
          <w:b/>
          <w:bCs/>
          <w:sz w:val="24"/>
        </w:rPr>
      </w:pPr>
      <w:r>
        <w:rPr>
          <w:rFonts w:hint="eastAsia" w:ascii="宋体" w:hAnsi="宋体" w:cs="宋体"/>
          <w:b/>
          <w:bCs/>
          <w:sz w:val="24"/>
        </w:rPr>
        <w:t>2．2．3  评标价价的偏差率计算</w:t>
      </w:r>
    </w:p>
    <w:p>
      <w:pPr>
        <w:spacing w:line="400" w:lineRule="exact"/>
        <w:ind w:firstLine="480"/>
        <w:rPr>
          <w:sz w:val="24"/>
        </w:rPr>
      </w:pPr>
      <w:r>
        <w:rPr>
          <w:rFonts w:hint="eastAsia" w:ascii="宋体" w:hAnsi="宋体" w:cs="宋体"/>
          <w:sz w:val="24"/>
        </w:rPr>
        <w:t>评标价的偏差率计算公式：见评标办法前附表。</w:t>
      </w:r>
    </w:p>
    <w:p>
      <w:pPr>
        <w:spacing w:line="400" w:lineRule="exact"/>
        <w:ind w:firstLine="480"/>
        <w:rPr>
          <w:b/>
          <w:bCs/>
          <w:sz w:val="24"/>
        </w:rPr>
      </w:pPr>
      <w:r>
        <w:rPr>
          <w:rFonts w:hint="eastAsia" w:ascii="宋体" w:hAnsi="宋体" w:cs="宋体"/>
          <w:b/>
          <w:bCs/>
          <w:sz w:val="24"/>
        </w:rPr>
        <w:t>2．2．4  评分标准</w:t>
      </w:r>
    </w:p>
    <w:p>
      <w:pPr>
        <w:spacing w:line="400" w:lineRule="exact"/>
        <w:rPr>
          <w:rFonts w:ascii="宋体" w:hAnsi="宋体" w:cs="宋体"/>
          <w:sz w:val="24"/>
        </w:rPr>
      </w:pPr>
      <w:bookmarkStart w:id="20" w:name="_Toc29812_WPSOffice_Level2"/>
      <w:r>
        <w:rPr>
          <w:rFonts w:hint="eastAsia" w:ascii="宋体" w:hAnsi="宋体" w:cs="宋体"/>
          <w:sz w:val="24"/>
        </w:rPr>
        <w:t>（1）施工组织设计评分标准：见评标办法前附表；</w:t>
      </w:r>
    </w:p>
    <w:p>
      <w:pPr>
        <w:spacing w:line="400" w:lineRule="exact"/>
        <w:rPr>
          <w:rFonts w:ascii="宋体" w:hAnsi="宋体" w:cs="宋体"/>
          <w:sz w:val="24"/>
        </w:rPr>
      </w:pPr>
      <w:r>
        <w:rPr>
          <w:rFonts w:hint="eastAsia" w:ascii="宋体" w:hAnsi="宋体" w:cs="宋体"/>
          <w:sz w:val="24"/>
        </w:rPr>
        <w:t>（2）主要人员评分标准：见评标办法前附表；</w:t>
      </w:r>
    </w:p>
    <w:p>
      <w:pPr>
        <w:spacing w:line="400" w:lineRule="exact"/>
        <w:rPr>
          <w:rFonts w:ascii="宋体" w:hAnsi="宋体" w:cs="宋体"/>
          <w:sz w:val="24"/>
        </w:rPr>
      </w:pPr>
      <w:r>
        <w:rPr>
          <w:rFonts w:hint="eastAsia" w:ascii="宋体" w:hAnsi="宋体" w:cs="宋体"/>
          <w:sz w:val="24"/>
        </w:rPr>
        <w:t>（3）评标价评分标准：见评标办法前附表；</w:t>
      </w:r>
    </w:p>
    <w:p>
      <w:pPr>
        <w:spacing w:line="400" w:lineRule="exact"/>
        <w:rPr>
          <w:rFonts w:ascii="宋体" w:hAnsi="宋体" w:cs="宋体"/>
          <w:sz w:val="24"/>
        </w:rPr>
      </w:pPr>
      <w:r>
        <w:rPr>
          <w:rFonts w:hint="eastAsia" w:ascii="宋体" w:hAnsi="宋体" w:cs="宋体"/>
          <w:sz w:val="24"/>
        </w:rPr>
        <w:t>（4）其他评分因素评分标准：见评标办法前附表。</w:t>
      </w:r>
    </w:p>
    <w:p>
      <w:pPr>
        <w:spacing w:line="400" w:lineRule="exact"/>
        <w:rPr>
          <w:b/>
          <w:sz w:val="28"/>
          <w:szCs w:val="28"/>
        </w:rPr>
      </w:pPr>
      <w:r>
        <w:rPr>
          <w:rFonts w:hint="eastAsia" w:ascii="宋体" w:hAnsi="宋体" w:cs="宋体"/>
          <w:b/>
          <w:sz w:val="28"/>
          <w:szCs w:val="28"/>
        </w:rPr>
        <w:t>3．评标程序</w:t>
      </w:r>
      <w:bookmarkEnd w:id="20"/>
    </w:p>
    <w:p>
      <w:pPr>
        <w:spacing w:line="400" w:lineRule="exact"/>
        <w:ind w:firstLine="240" w:firstLineChars="100"/>
        <w:rPr>
          <w:rFonts w:ascii="宋体" w:hAnsi="宋体" w:cs="仿宋"/>
          <w:sz w:val="24"/>
        </w:rPr>
      </w:pPr>
      <w:r>
        <w:rPr>
          <w:rFonts w:hint="eastAsia" w:ascii="宋体" w:hAnsi="宋体" w:cs="仿宋"/>
          <w:b/>
          <w:bCs/>
          <w:sz w:val="24"/>
        </w:rPr>
        <w:t>3．1 第一个信封初步评审</w:t>
      </w:r>
    </w:p>
    <w:p>
      <w:pPr>
        <w:spacing w:line="400" w:lineRule="exact"/>
        <w:ind w:firstLine="480" w:firstLineChars="200"/>
        <w:rPr>
          <w:rFonts w:ascii="宋体" w:hAnsi="宋体" w:cs="仿宋"/>
          <w:sz w:val="24"/>
        </w:rPr>
      </w:pPr>
      <w:r>
        <w:rPr>
          <w:rFonts w:hint="eastAsia" w:ascii="宋体" w:hAnsi="宋体" w:cs="仿宋"/>
          <w:sz w:val="24"/>
        </w:rPr>
        <w:t>3.1.1 评标委员会可以要求投标人提交第二章“投标人须知”第 3.5.1 项至第 3.5.6项规定的有关证明和证件的原件，以便核验。评标委员会依据本章第 2.1 款规定的标准对投标文件第一个信封（商务及技术文件）进行初步评审。有一项不符合评审标准的，评标委员会应否决其投标。</w:t>
      </w:r>
    </w:p>
    <w:p>
      <w:pPr>
        <w:spacing w:line="400" w:lineRule="exact"/>
        <w:ind w:firstLine="240" w:firstLineChars="100"/>
        <w:rPr>
          <w:rFonts w:ascii="宋体" w:hAnsi="宋体" w:cs="仿宋"/>
          <w:b/>
          <w:bCs/>
          <w:sz w:val="24"/>
        </w:rPr>
      </w:pPr>
      <w:r>
        <w:rPr>
          <w:rFonts w:hint="eastAsia" w:ascii="宋体" w:hAnsi="宋体" w:cs="仿宋"/>
          <w:b/>
          <w:bCs/>
          <w:sz w:val="24"/>
        </w:rPr>
        <w:t>3.2 第一个信封详细评审</w:t>
      </w:r>
    </w:p>
    <w:p>
      <w:pPr>
        <w:spacing w:line="400" w:lineRule="exact"/>
        <w:ind w:firstLine="480" w:firstLineChars="200"/>
        <w:rPr>
          <w:rFonts w:ascii="宋体" w:hAnsi="宋体" w:cs="仿宋"/>
          <w:sz w:val="24"/>
        </w:rPr>
      </w:pPr>
      <w:r>
        <w:rPr>
          <w:rFonts w:hint="eastAsia" w:ascii="宋体" w:hAnsi="宋体" w:cs="仿宋"/>
          <w:sz w:val="24"/>
        </w:rPr>
        <w:t>3.2.1评标委员会按本章第 2.2 款规定的量化因素和分值进行打分，并计算出各投标人的商务和技术得分。</w:t>
      </w:r>
    </w:p>
    <w:p>
      <w:pPr>
        <w:spacing w:line="400" w:lineRule="exact"/>
        <w:rPr>
          <w:rFonts w:ascii="宋体" w:hAnsi="宋体" w:cs="仿宋"/>
          <w:sz w:val="24"/>
        </w:rPr>
      </w:pPr>
      <w:r>
        <w:rPr>
          <w:rFonts w:hint="eastAsia" w:ascii="宋体" w:hAnsi="宋体" w:cs="仿宋"/>
          <w:sz w:val="24"/>
        </w:rPr>
        <w:t>（1）按本章第 2.2.4 项（1）目规定的评审因素和分值对施工组织设计部分计算出得分 A；</w:t>
      </w:r>
    </w:p>
    <w:p>
      <w:pPr>
        <w:spacing w:line="400" w:lineRule="exact"/>
        <w:rPr>
          <w:rFonts w:ascii="宋体" w:hAnsi="宋体" w:cs="仿宋"/>
          <w:sz w:val="24"/>
        </w:rPr>
      </w:pPr>
      <w:r>
        <w:rPr>
          <w:rFonts w:hint="eastAsia" w:ascii="宋体" w:hAnsi="宋体" w:cs="仿宋"/>
          <w:sz w:val="24"/>
        </w:rPr>
        <w:t>（2）按本章第 2.2.4 项（2）目规定的评审因素和分值对主要人员部分计算出得分 B；</w:t>
      </w:r>
    </w:p>
    <w:p>
      <w:pPr>
        <w:spacing w:line="400" w:lineRule="exact"/>
        <w:rPr>
          <w:rFonts w:ascii="宋体" w:hAnsi="宋体" w:cs="仿宋"/>
          <w:sz w:val="24"/>
        </w:rPr>
      </w:pPr>
      <w:r>
        <w:rPr>
          <w:rFonts w:hint="eastAsia" w:ascii="宋体" w:hAnsi="宋体" w:cs="仿宋"/>
          <w:sz w:val="24"/>
        </w:rPr>
        <w:t>（3）按本章第 2.2.4 项（4）目规定的评审因素和分值对其他部分计算出得分D。</w:t>
      </w:r>
    </w:p>
    <w:p>
      <w:pPr>
        <w:spacing w:line="400" w:lineRule="exact"/>
        <w:ind w:firstLine="480" w:firstLineChars="200"/>
        <w:rPr>
          <w:rFonts w:ascii="宋体" w:hAnsi="宋体" w:cs="仿宋"/>
          <w:sz w:val="24"/>
        </w:rPr>
      </w:pPr>
      <w:r>
        <w:rPr>
          <w:rFonts w:hint="eastAsia" w:ascii="宋体" w:hAnsi="宋体" w:cs="仿宋"/>
          <w:sz w:val="24"/>
        </w:rPr>
        <w:t>3.2.2  投标人的商务和技术得分分值计算保留小数点后两位，小数点后第三位“四舍五入”。</w:t>
      </w:r>
    </w:p>
    <w:p>
      <w:pPr>
        <w:spacing w:line="400" w:lineRule="exact"/>
        <w:ind w:firstLine="480" w:firstLineChars="200"/>
        <w:rPr>
          <w:rFonts w:ascii="宋体" w:hAnsi="宋体" w:cs="仿宋"/>
          <w:b/>
          <w:bCs/>
          <w:sz w:val="24"/>
        </w:rPr>
      </w:pPr>
      <w:r>
        <w:rPr>
          <w:rFonts w:hint="eastAsia" w:ascii="宋体" w:hAnsi="宋体" w:cs="仿宋"/>
          <w:sz w:val="24"/>
        </w:rPr>
        <w:t>3.2.3 投标人的商务和技术得分=A+B+D。</w:t>
      </w:r>
    </w:p>
    <w:p>
      <w:pPr>
        <w:spacing w:line="400" w:lineRule="exact"/>
        <w:ind w:firstLine="240" w:firstLineChars="100"/>
        <w:rPr>
          <w:rFonts w:ascii="宋体" w:hAnsi="宋体" w:cs="仿宋"/>
          <w:sz w:val="24"/>
        </w:rPr>
      </w:pPr>
      <w:r>
        <w:rPr>
          <w:rFonts w:hint="eastAsia" w:ascii="宋体" w:hAnsi="宋体" w:cs="仿宋"/>
          <w:b/>
          <w:bCs/>
          <w:sz w:val="24"/>
        </w:rPr>
        <w:t>3.3 第二个信封开标</w:t>
      </w:r>
    </w:p>
    <w:p>
      <w:pPr>
        <w:spacing w:line="400" w:lineRule="exact"/>
        <w:ind w:firstLine="480" w:firstLineChars="200"/>
        <w:rPr>
          <w:rFonts w:ascii="宋体" w:hAnsi="宋体" w:cs="仿宋"/>
          <w:sz w:val="24"/>
        </w:rPr>
      </w:pPr>
      <w:r>
        <w:rPr>
          <w:rFonts w:hint="eastAsia" w:ascii="宋体" w:hAnsi="宋体" w:cs="仿宋"/>
          <w:sz w:val="24"/>
        </w:rPr>
        <w:t>第一个信封（商务及技术文件）评审结束后，招标人将按照第二章“投标人须知”第 5.1 款规定的时间和地点对通过投标文件第一个信封（商务及技术文件）评审的投标文件第二个信封（报价文件）进行开标。</w:t>
      </w:r>
    </w:p>
    <w:p>
      <w:pPr>
        <w:spacing w:line="400" w:lineRule="exact"/>
        <w:ind w:firstLine="240" w:firstLineChars="100"/>
        <w:rPr>
          <w:rFonts w:ascii="宋体" w:hAnsi="宋体" w:cs="仿宋"/>
          <w:sz w:val="24"/>
        </w:rPr>
      </w:pPr>
      <w:r>
        <w:rPr>
          <w:rFonts w:hint="eastAsia" w:ascii="宋体" w:hAnsi="宋体" w:cs="仿宋"/>
          <w:b/>
          <w:bCs/>
          <w:sz w:val="24"/>
        </w:rPr>
        <w:t>3.4第二个信封初步评审</w:t>
      </w:r>
    </w:p>
    <w:p>
      <w:pPr>
        <w:spacing w:line="400" w:lineRule="exact"/>
        <w:ind w:firstLine="480" w:firstLineChars="200"/>
        <w:rPr>
          <w:rFonts w:ascii="宋体" w:hAnsi="宋体" w:cs="仿宋"/>
          <w:sz w:val="24"/>
        </w:rPr>
      </w:pPr>
      <w:r>
        <w:rPr>
          <w:rFonts w:hint="eastAsia" w:ascii="宋体" w:hAnsi="宋体" w:cs="仿宋"/>
          <w:sz w:val="24"/>
        </w:rPr>
        <w:t>3.4.1评标委员会依据本章第 2.1.1 项、第 2.1.3 项规定的评审标准对投标文件第二个信封（报价文件）进行初步评审。有一项不符合评审标准的，评标委员会应否决其投标。</w:t>
      </w:r>
    </w:p>
    <w:p>
      <w:pPr>
        <w:spacing w:line="400" w:lineRule="exact"/>
        <w:ind w:firstLine="480" w:firstLineChars="200"/>
        <w:rPr>
          <w:rFonts w:ascii="宋体" w:hAnsi="宋体" w:cs="仿宋"/>
          <w:sz w:val="24"/>
        </w:rPr>
      </w:pPr>
      <w:r>
        <w:rPr>
          <w:rFonts w:hint="eastAsia" w:ascii="宋体" w:hAnsi="宋体" w:cs="仿宋"/>
          <w:sz w:val="24"/>
        </w:rPr>
        <w:t>3.4.2投标报价有算术错误的，评标委员会按以下原则对投标报价进行修正，修正的价格经投标人书面确认后具有约束力。投标人不接受修正价格的，评标委员会应否决其投标。</w:t>
      </w:r>
    </w:p>
    <w:p>
      <w:pPr>
        <w:spacing w:line="400" w:lineRule="exact"/>
        <w:ind w:left="480"/>
        <w:rPr>
          <w:rFonts w:ascii="宋体" w:hAnsi="宋体" w:cs="仿宋"/>
          <w:sz w:val="24"/>
        </w:rPr>
      </w:pPr>
      <w:r>
        <w:rPr>
          <w:rFonts w:hint="eastAsia" w:ascii="宋体" w:hAnsi="宋体" w:cs="仿宋"/>
          <w:sz w:val="24"/>
        </w:rPr>
        <w:t>（1）投标文件中的大写金额与小写金额不一致的，以大写金额为准；</w:t>
      </w:r>
    </w:p>
    <w:p>
      <w:pPr>
        <w:spacing w:line="400" w:lineRule="exact"/>
        <w:ind w:firstLine="480" w:firstLineChars="200"/>
        <w:rPr>
          <w:rFonts w:ascii="宋体" w:hAnsi="宋体" w:cs="仿宋"/>
          <w:sz w:val="24"/>
        </w:rPr>
      </w:pPr>
      <w:r>
        <w:rPr>
          <w:rFonts w:hint="eastAsia" w:ascii="宋体" w:hAnsi="宋体" w:cs="仿宋"/>
          <w:sz w:val="24"/>
        </w:rPr>
        <w:t>（2）总价金额与依据单价计算出的结果不一致的，以单价金额为准修正总价，但单价金额小数点有明显错误的除外;</w:t>
      </w:r>
    </w:p>
    <w:p>
      <w:pPr>
        <w:spacing w:line="400" w:lineRule="exact"/>
        <w:ind w:firstLine="480" w:firstLineChars="200"/>
        <w:rPr>
          <w:rFonts w:ascii="宋体" w:hAnsi="宋体" w:cs="仿宋"/>
          <w:sz w:val="24"/>
        </w:rPr>
      </w:pPr>
      <w:r>
        <w:rPr>
          <w:rFonts w:hint="eastAsia" w:ascii="宋体" w:hAnsi="宋体" w:cs="仿宋"/>
          <w:sz w:val="24"/>
        </w:rPr>
        <w:t>（3）当单价与数量相乘不等于合价时，以单价计算为准，如果单价有明显的小数点位置差错，应以标出的合价为准，同时对单价予以修正；</w:t>
      </w:r>
    </w:p>
    <w:p>
      <w:pPr>
        <w:spacing w:line="400" w:lineRule="exact"/>
        <w:ind w:firstLine="480" w:firstLineChars="200"/>
        <w:rPr>
          <w:rFonts w:ascii="宋体" w:hAnsi="宋体" w:cs="仿宋"/>
          <w:sz w:val="24"/>
        </w:rPr>
      </w:pPr>
      <w:r>
        <w:rPr>
          <w:rFonts w:hint="eastAsia" w:ascii="宋体" w:hAnsi="宋体" w:cs="仿宋"/>
          <w:sz w:val="24"/>
        </w:rPr>
        <w:t>（4）当各子目的合价累计不等于总价时，应以各子目合价累计数为准，修正总价。</w:t>
      </w:r>
    </w:p>
    <w:p>
      <w:pPr>
        <w:spacing w:line="400" w:lineRule="exact"/>
        <w:ind w:firstLine="480" w:firstLineChars="200"/>
        <w:rPr>
          <w:rFonts w:ascii="宋体" w:hAnsi="宋体" w:cs="仿宋"/>
          <w:sz w:val="24"/>
        </w:rPr>
      </w:pPr>
      <w:r>
        <w:rPr>
          <w:rFonts w:hint="eastAsia" w:ascii="宋体" w:hAnsi="宋体" w:cs="仿宋"/>
          <w:sz w:val="24"/>
        </w:rPr>
        <w:t>3.4.3 工程量清单中的投标报价有其他错误的，评标委员会按以下原则对投标报价进行修正，修正的价格经投标人书面确认后具有约束力。投标人不接受修正价格的，评标委员会应否决其投标。</w:t>
      </w:r>
    </w:p>
    <w:p>
      <w:pPr>
        <w:spacing w:line="400" w:lineRule="exact"/>
        <w:ind w:firstLine="480" w:firstLineChars="200"/>
        <w:rPr>
          <w:rFonts w:ascii="宋体" w:hAnsi="宋体" w:cs="仿宋"/>
          <w:sz w:val="24"/>
        </w:rPr>
      </w:pPr>
      <w:r>
        <w:rPr>
          <w:rFonts w:hint="eastAsia" w:ascii="宋体" w:hAnsi="宋体" w:cs="仿宋"/>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400" w:lineRule="exact"/>
        <w:ind w:firstLine="480" w:firstLineChars="200"/>
        <w:rPr>
          <w:rFonts w:ascii="宋体" w:hAnsi="宋体" w:cs="仿宋"/>
          <w:sz w:val="24"/>
        </w:rPr>
      </w:pPr>
      <w:r>
        <w:rPr>
          <w:rFonts w:hint="eastAsia" w:ascii="宋体" w:hAnsi="宋体" w:cs="仿宋"/>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400" w:lineRule="exact"/>
        <w:ind w:firstLine="480" w:firstLineChars="200"/>
        <w:rPr>
          <w:rFonts w:ascii="宋体" w:hAnsi="宋体" w:cs="仿宋"/>
          <w:sz w:val="24"/>
        </w:rPr>
      </w:pPr>
      <w:r>
        <w:rPr>
          <w:rFonts w:hint="eastAsia" w:ascii="宋体" w:hAnsi="宋体" w:cs="仿宋"/>
          <w:sz w:val="24"/>
        </w:rPr>
        <w:t>（3）当单价与数量的乘积与合价（金额）虽然一致，但投标人修改了该子目的工程数量，则其合价按招标人给定的工程数量乘以投标人所报单价予以修正。</w:t>
      </w:r>
    </w:p>
    <w:p>
      <w:pPr>
        <w:spacing w:line="400" w:lineRule="exact"/>
        <w:ind w:firstLine="480" w:firstLineChars="200"/>
        <w:rPr>
          <w:rFonts w:ascii="宋体" w:hAnsi="宋体" w:cs="仿宋"/>
          <w:sz w:val="24"/>
        </w:rPr>
      </w:pPr>
      <w:r>
        <w:rPr>
          <w:rFonts w:hint="eastAsia" w:ascii="宋体" w:hAnsi="宋体" w:cs="仿宋"/>
          <w:sz w:val="24"/>
        </w:rPr>
        <w:t>3.4.4修正后的最终投标报价若超过最高投标限价（如有），评标委员会应否决其投标。</w:t>
      </w:r>
    </w:p>
    <w:p>
      <w:pPr>
        <w:spacing w:line="400" w:lineRule="exact"/>
        <w:ind w:firstLine="480" w:firstLineChars="200"/>
        <w:rPr>
          <w:rFonts w:ascii="宋体" w:hAnsi="宋体" w:cs="仿宋"/>
          <w:sz w:val="24"/>
        </w:rPr>
      </w:pPr>
      <w:r>
        <w:rPr>
          <w:rFonts w:hint="eastAsia" w:ascii="宋体" w:hAnsi="宋体" w:cs="仿宋"/>
          <w:sz w:val="24"/>
        </w:rPr>
        <w:t>3.4.5修正后的最终投标报价仅作为签订合同的一个依据，不参与评标价得分的计算。</w:t>
      </w:r>
    </w:p>
    <w:p>
      <w:pPr>
        <w:spacing w:line="400" w:lineRule="exact"/>
        <w:ind w:firstLine="240" w:firstLineChars="100"/>
        <w:rPr>
          <w:rFonts w:ascii="宋体" w:hAnsi="宋体" w:cs="仿宋"/>
          <w:sz w:val="24"/>
        </w:rPr>
      </w:pPr>
      <w:r>
        <w:rPr>
          <w:rFonts w:hint="eastAsia" w:ascii="宋体" w:hAnsi="宋体" w:cs="仿宋"/>
          <w:b/>
          <w:bCs/>
          <w:sz w:val="24"/>
        </w:rPr>
        <w:t>3.5第二个信封详细评审</w:t>
      </w:r>
    </w:p>
    <w:p>
      <w:pPr>
        <w:spacing w:line="400" w:lineRule="exact"/>
        <w:ind w:firstLine="480" w:firstLineChars="200"/>
        <w:rPr>
          <w:rFonts w:ascii="宋体" w:hAnsi="宋体" w:cs="仿宋"/>
          <w:sz w:val="24"/>
        </w:rPr>
      </w:pPr>
      <w:r>
        <w:rPr>
          <w:rFonts w:hint="eastAsia" w:ascii="宋体" w:hAnsi="宋体" w:cs="仿宋"/>
          <w:sz w:val="24"/>
        </w:rPr>
        <w:t>3.5.1评标委员会按本章第 2.2.4（3）目规定的评审因素和分值对评标价计算出得分 C。评标价得分分值计算保留小数点后两位，小数点后第三位“四舍五入”。</w:t>
      </w:r>
    </w:p>
    <w:p>
      <w:pPr>
        <w:spacing w:line="400" w:lineRule="exact"/>
        <w:ind w:firstLine="480" w:firstLineChars="200"/>
        <w:rPr>
          <w:rFonts w:ascii="宋体" w:hAnsi="宋体" w:cs="仿宋"/>
          <w:sz w:val="24"/>
        </w:rPr>
      </w:pPr>
      <w:r>
        <w:rPr>
          <w:rFonts w:hint="eastAsia" w:ascii="宋体" w:hAnsi="宋体" w:cs="仿宋"/>
          <w:sz w:val="24"/>
        </w:rPr>
        <w:t>3.5.2投标人综合得分=投标人的商务和技术得分+C。</w:t>
      </w:r>
    </w:p>
    <w:p>
      <w:pPr>
        <w:spacing w:line="400" w:lineRule="exact"/>
        <w:ind w:firstLine="480" w:firstLineChars="200"/>
        <w:rPr>
          <w:rFonts w:ascii="宋体" w:hAnsi="宋体" w:cs="仿宋"/>
          <w:sz w:val="24"/>
        </w:rPr>
      </w:pPr>
      <w:r>
        <w:rPr>
          <w:rFonts w:hint="eastAsia" w:ascii="宋体" w:hAnsi="宋体" w:cs="仿宋"/>
          <w:sz w:val="24"/>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400" w:lineRule="exact"/>
        <w:ind w:firstLine="240" w:firstLineChars="100"/>
        <w:rPr>
          <w:rFonts w:ascii="宋体" w:hAnsi="宋体" w:cs="仿宋"/>
          <w:sz w:val="24"/>
        </w:rPr>
      </w:pPr>
      <w:r>
        <w:rPr>
          <w:rFonts w:hint="eastAsia" w:ascii="宋体" w:hAnsi="宋体" w:cs="仿宋"/>
          <w:b/>
          <w:bCs/>
          <w:sz w:val="24"/>
        </w:rPr>
        <w:t>3.6投标文件相关信息的核查</w:t>
      </w:r>
    </w:p>
    <w:p>
      <w:pPr>
        <w:spacing w:line="400" w:lineRule="exact"/>
        <w:ind w:firstLine="480" w:firstLineChars="200"/>
        <w:rPr>
          <w:rFonts w:ascii="宋体" w:hAnsi="宋体" w:cs="仿宋"/>
          <w:sz w:val="24"/>
        </w:rPr>
      </w:pPr>
      <w:r>
        <w:rPr>
          <w:rFonts w:hint="eastAsia" w:ascii="宋体" w:hAnsi="宋体" w:cs="仿宋"/>
          <w:sz w:val="24"/>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400" w:lineRule="exact"/>
        <w:ind w:firstLine="480" w:firstLineChars="200"/>
        <w:rPr>
          <w:rFonts w:ascii="宋体" w:hAnsi="宋体" w:cs="仿宋"/>
          <w:sz w:val="24"/>
        </w:rPr>
      </w:pPr>
      <w:r>
        <w:rPr>
          <w:rFonts w:hint="eastAsia" w:ascii="宋体" w:hAnsi="宋体" w:cs="仿宋"/>
          <w:sz w:val="24"/>
        </w:rPr>
        <w:t>3.6.2评标委员会应对在评标过程中发现的投标人与投标人之间、投标人与招标人之间存在的串通投标的情形进行评审和认定。投标人存在串通投标、弄虚作假、行贿等违法行为的，评标委员会应否决其投标。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exact"/>
        <w:ind w:firstLine="480" w:firstLineChars="200"/>
        <w:rPr>
          <w:rFonts w:ascii="宋体" w:hAnsi="宋体" w:cs="仿宋"/>
          <w:sz w:val="24"/>
        </w:rPr>
      </w:pPr>
      <w:r>
        <w:rPr>
          <w:rFonts w:hint="eastAsia" w:ascii="宋体" w:hAnsi="宋体" w:cs="仿宋"/>
          <w:sz w:val="24"/>
        </w:rPr>
        <w:t>（1）有下列情形之一的，属于投标人相互串通投标：</w:t>
      </w:r>
    </w:p>
    <w:p>
      <w:pPr>
        <w:spacing w:line="400" w:lineRule="exact"/>
        <w:ind w:firstLine="480" w:firstLineChars="200"/>
        <w:rPr>
          <w:rFonts w:ascii="宋体" w:hAnsi="宋体" w:cs="仿宋"/>
          <w:sz w:val="24"/>
        </w:rPr>
      </w:pPr>
      <w:r>
        <w:rPr>
          <w:rFonts w:hint="eastAsia" w:ascii="宋体" w:hAnsi="宋体" w:cs="仿宋"/>
          <w:sz w:val="24"/>
        </w:rPr>
        <w:t>a.投标人之间协商投标报价等投标文件的实质性内容；</w:t>
      </w:r>
    </w:p>
    <w:p>
      <w:pPr>
        <w:spacing w:line="400" w:lineRule="exact"/>
        <w:ind w:firstLine="480" w:firstLineChars="200"/>
        <w:rPr>
          <w:rFonts w:ascii="宋体" w:hAnsi="宋体" w:cs="仿宋"/>
          <w:sz w:val="24"/>
        </w:rPr>
      </w:pPr>
      <w:r>
        <w:rPr>
          <w:rFonts w:hint="eastAsia" w:ascii="宋体" w:hAnsi="宋体" w:cs="仿宋"/>
          <w:sz w:val="24"/>
        </w:rPr>
        <w:t>b.投标人之间约定中标人；</w:t>
      </w:r>
    </w:p>
    <w:p>
      <w:pPr>
        <w:spacing w:line="400" w:lineRule="exact"/>
        <w:ind w:firstLine="480" w:firstLineChars="200"/>
        <w:rPr>
          <w:rFonts w:ascii="宋体" w:hAnsi="宋体" w:cs="仿宋"/>
          <w:sz w:val="24"/>
        </w:rPr>
      </w:pPr>
      <w:r>
        <w:rPr>
          <w:rFonts w:hint="eastAsia" w:ascii="宋体" w:hAnsi="宋体" w:cs="仿宋"/>
          <w:sz w:val="24"/>
        </w:rPr>
        <w:t>c.投标人之间约定部分投标人放弃投标或中标；</w:t>
      </w:r>
    </w:p>
    <w:p>
      <w:pPr>
        <w:spacing w:line="400" w:lineRule="exact"/>
        <w:ind w:firstLine="480" w:firstLineChars="200"/>
        <w:rPr>
          <w:rFonts w:ascii="宋体" w:hAnsi="宋体" w:cs="仿宋"/>
          <w:sz w:val="24"/>
        </w:rPr>
      </w:pPr>
      <w:r>
        <w:rPr>
          <w:rFonts w:hint="eastAsia" w:ascii="宋体" w:hAnsi="宋体" w:cs="仿宋"/>
          <w:sz w:val="24"/>
        </w:rPr>
        <w:t>d.属于同一集团、协会、商会等组织成员的投标人按照该组织要求协同投标；</w:t>
      </w:r>
    </w:p>
    <w:p>
      <w:pPr>
        <w:spacing w:line="400" w:lineRule="exact"/>
        <w:ind w:firstLine="480" w:firstLineChars="200"/>
        <w:rPr>
          <w:rFonts w:ascii="宋体" w:hAnsi="宋体" w:cs="仿宋"/>
          <w:sz w:val="24"/>
        </w:rPr>
      </w:pPr>
      <w:r>
        <w:rPr>
          <w:rFonts w:hint="eastAsia" w:ascii="宋体" w:hAnsi="宋体" w:cs="仿宋"/>
          <w:sz w:val="24"/>
        </w:rPr>
        <w:t>e.投标人之间为谋取中标或排斥特定投标人而采取的其他联合行动。</w:t>
      </w:r>
    </w:p>
    <w:p>
      <w:pPr>
        <w:spacing w:line="400" w:lineRule="exact"/>
        <w:ind w:firstLine="480" w:firstLineChars="200"/>
        <w:rPr>
          <w:rFonts w:ascii="宋体" w:hAnsi="宋体" w:cs="仿宋"/>
          <w:sz w:val="24"/>
        </w:rPr>
      </w:pPr>
      <w:r>
        <w:rPr>
          <w:rFonts w:hint="eastAsia" w:ascii="宋体" w:hAnsi="宋体" w:cs="仿宋"/>
          <w:sz w:val="24"/>
        </w:rPr>
        <w:t>（2）有下列情形之一的，视为投标人相互串通投标：</w:t>
      </w:r>
    </w:p>
    <w:p>
      <w:pPr>
        <w:spacing w:line="400" w:lineRule="exact"/>
        <w:ind w:firstLine="480" w:firstLineChars="200"/>
        <w:rPr>
          <w:rFonts w:ascii="宋体" w:hAnsi="宋体" w:cs="仿宋"/>
          <w:sz w:val="24"/>
        </w:rPr>
      </w:pPr>
      <w:r>
        <w:rPr>
          <w:rFonts w:hint="eastAsia" w:ascii="宋体" w:hAnsi="宋体" w:cs="仿宋"/>
          <w:sz w:val="24"/>
        </w:rPr>
        <w:t>a.不同投标人的投标文件由同一单位或个人编制；</w:t>
      </w:r>
    </w:p>
    <w:p>
      <w:pPr>
        <w:spacing w:line="400" w:lineRule="exact"/>
        <w:ind w:firstLine="480" w:firstLineChars="200"/>
        <w:rPr>
          <w:rFonts w:ascii="宋体" w:hAnsi="宋体" w:cs="仿宋"/>
          <w:sz w:val="24"/>
        </w:rPr>
      </w:pPr>
      <w:r>
        <w:rPr>
          <w:rFonts w:hint="eastAsia" w:ascii="宋体" w:hAnsi="宋体" w:cs="仿宋"/>
          <w:sz w:val="24"/>
        </w:rPr>
        <w:t>b.不同投标人委托同一单位或个人办理投标事宜；</w:t>
      </w:r>
    </w:p>
    <w:p>
      <w:pPr>
        <w:spacing w:line="400" w:lineRule="exact"/>
        <w:ind w:firstLine="480" w:firstLineChars="200"/>
        <w:rPr>
          <w:rFonts w:ascii="宋体" w:hAnsi="宋体" w:cs="仿宋"/>
          <w:sz w:val="24"/>
        </w:rPr>
      </w:pPr>
      <w:r>
        <w:rPr>
          <w:rFonts w:hint="eastAsia" w:ascii="宋体" w:hAnsi="宋体" w:cs="仿宋"/>
          <w:sz w:val="24"/>
        </w:rPr>
        <w:t>c.不同投标人的投标文件载明的项目管理成员为同一人；</w:t>
      </w:r>
    </w:p>
    <w:p>
      <w:pPr>
        <w:spacing w:line="400" w:lineRule="exact"/>
        <w:ind w:firstLine="480" w:firstLineChars="200"/>
        <w:rPr>
          <w:rFonts w:ascii="宋体" w:hAnsi="宋体" w:cs="仿宋"/>
          <w:sz w:val="24"/>
        </w:rPr>
      </w:pPr>
      <w:r>
        <w:rPr>
          <w:rFonts w:hint="eastAsia" w:ascii="宋体" w:hAnsi="宋体" w:cs="仿宋"/>
          <w:sz w:val="24"/>
        </w:rPr>
        <w:t>d.不同投标人的投标文件异常一致或投标报价呈规律性差异；</w:t>
      </w:r>
    </w:p>
    <w:p>
      <w:pPr>
        <w:spacing w:line="400" w:lineRule="exact"/>
        <w:ind w:firstLine="480" w:firstLineChars="200"/>
        <w:rPr>
          <w:rFonts w:ascii="宋体" w:hAnsi="宋体" w:cs="仿宋"/>
          <w:sz w:val="24"/>
        </w:rPr>
      </w:pPr>
      <w:r>
        <w:rPr>
          <w:rFonts w:hint="eastAsia" w:ascii="宋体" w:hAnsi="宋体" w:cs="仿宋"/>
          <w:sz w:val="24"/>
        </w:rPr>
        <w:t>e.不同投标人的投标文件相互混装；</w:t>
      </w:r>
    </w:p>
    <w:p>
      <w:pPr>
        <w:spacing w:line="400" w:lineRule="exact"/>
        <w:ind w:firstLine="480" w:firstLineChars="200"/>
        <w:rPr>
          <w:rFonts w:ascii="宋体" w:hAnsi="宋体" w:cs="仿宋"/>
          <w:sz w:val="24"/>
        </w:rPr>
      </w:pPr>
      <w:r>
        <w:rPr>
          <w:rFonts w:hint="eastAsia" w:ascii="宋体" w:hAnsi="宋体" w:cs="仿宋"/>
          <w:sz w:val="24"/>
        </w:rPr>
        <w:t>f.不同投标人的投标保证金从同一单位或个人的账户转出。</w:t>
      </w:r>
    </w:p>
    <w:p>
      <w:pPr>
        <w:spacing w:line="400" w:lineRule="exact"/>
        <w:ind w:firstLine="480" w:firstLineChars="200"/>
        <w:rPr>
          <w:rFonts w:ascii="宋体" w:hAnsi="宋体" w:cs="仿宋"/>
          <w:sz w:val="24"/>
        </w:rPr>
      </w:pPr>
      <w:r>
        <w:rPr>
          <w:rFonts w:hint="eastAsia" w:ascii="宋体" w:hAnsi="宋体" w:cs="仿宋"/>
          <w:sz w:val="24"/>
        </w:rPr>
        <w:t>（3）有下列情形之一的，属于招标人与投标人串通投标：</w:t>
      </w:r>
    </w:p>
    <w:p>
      <w:pPr>
        <w:spacing w:line="400" w:lineRule="exact"/>
        <w:ind w:firstLine="480" w:firstLineChars="200"/>
        <w:rPr>
          <w:rFonts w:ascii="宋体" w:hAnsi="宋体" w:cs="仿宋"/>
          <w:sz w:val="24"/>
        </w:rPr>
      </w:pPr>
      <w:r>
        <w:rPr>
          <w:rFonts w:hint="eastAsia" w:ascii="宋体" w:hAnsi="宋体" w:cs="仿宋"/>
          <w:sz w:val="24"/>
        </w:rPr>
        <w:t>a.招标人在开标前开启投标文件并将有关信息泄露给其他投标人;</w:t>
      </w:r>
    </w:p>
    <w:p>
      <w:pPr>
        <w:spacing w:line="400" w:lineRule="exact"/>
        <w:ind w:firstLine="480" w:firstLineChars="200"/>
        <w:rPr>
          <w:rFonts w:ascii="宋体" w:hAnsi="宋体" w:cs="仿宋"/>
          <w:sz w:val="24"/>
        </w:rPr>
      </w:pPr>
      <w:r>
        <w:rPr>
          <w:rFonts w:hint="eastAsia" w:ascii="宋体" w:hAnsi="宋体" w:cs="仿宋"/>
          <w:sz w:val="24"/>
        </w:rPr>
        <w:t>b.招标人直接或间接向投标人泄露标底、评标委员会成员等信息；</w:t>
      </w:r>
    </w:p>
    <w:p>
      <w:pPr>
        <w:spacing w:line="400" w:lineRule="exact"/>
        <w:ind w:firstLine="480" w:firstLineChars="200"/>
        <w:rPr>
          <w:rFonts w:ascii="宋体" w:hAnsi="宋体" w:cs="仿宋"/>
          <w:sz w:val="24"/>
        </w:rPr>
      </w:pPr>
      <w:r>
        <w:rPr>
          <w:rFonts w:hint="eastAsia" w:ascii="宋体" w:hAnsi="宋体" w:cs="仿宋"/>
          <w:sz w:val="24"/>
        </w:rPr>
        <w:t>c.招标人明示或暗示投标人压低或抬高投标报价；</w:t>
      </w:r>
    </w:p>
    <w:p>
      <w:pPr>
        <w:spacing w:line="400" w:lineRule="exact"/>
        <w:ind w:firstLine="480" w:firstLineChars="200"/>
        <w:rPr>
          <w:rFonts w:ascii="宋体" w:hAnsi="宋体" w:cs="仿宋"/>
          <w:sz w:val="24"/>
        </w:rPr>
      </w:pPr>
      <w:r>
        <w:rPr>
          <w:rFonts w:hint="eastAsia" w:ascii="宋体" w:hAnsi="宋体" w:cs="仿宋"/>
          <w:sz w:val="24"/>
        </w:rPr>
        <w:t>d.招标人授意投标人撤换、修改投标文件；</w:t>
      </w:r>
    </w:p>
    <w:p>
      <w:pPr>
        <w:spacing w:line="400" w:lineRule="exact"/>
        <w:ind w:firstLine="480" w:firstLineChars="200"/>
        <w:rPr>
          <w:rFonts w:ascii="宋体" w:hAnsi="宋体" w:cs="仿宋"/>
          <w:sz w:val="24"/>
        </w:rPr>
      </w:pPr>
      <w:r>
        <w:rPr>
          <w:rFonts w:hint="eastAsia" w:ascii="宋体" w:hAnsi="宋体" w:cs="仿宋"/>
          <w:sz w:val="24"/>
        </w:rPr>
        <w:t>e.招标人明示或暗示投标人为特定投标人中标提供方便；</w:t>
      </w:r>
    </w:p>
    <w:p>
      <w:pPr>
        <w:spacing w:line="400" w:lineRule="exact"/>
        <w:ind w:firstLine="480" w:firstLineChars="200"/>
        <w:rPr>
          <w:rFonts w:ascii="宋体" w:hAnsi="宋体" w:cs="仿宋"/>
          <w:sz w:val="24"/>
        </w:rPr>
      </w:pPr>
      <w:r>
        <w:rPr>
          <w:rFonts w:hint="eastAsia" w:ascii="宋体" w:hAnsi="宋体" w:cs="仿宋"/>
          <w:sz w:val="24"/>
        </w:rPr>
        <w:t>f.招标人与投标人为谋求特定投标人中标而采取的其他串通行为。</w:t>
      </w:r>
    </w:p>
    <w:p>
      <w:pPr>
        <w:spacing w:line="400" w:lineRule="exact"/>
        <w:ind w:firstLine="480" w:firstLineChars="200"/>
        <w:rPr>
          <w:rFonts w:ascii="宋体" w:hAnsi="宋体" w:cs="仿宋"/>
          <w:sz w:val="24"/>
        </w:rPr>
      </w:pPr>
      <w:r>
        <w:rPr>
          <w:rFonts w:hint="eastAsia" w:ascii="宋体" w:hAnsi="宋体" w:cs="仿宋"/>
          <w:sz w:val="24"/>
        </w:rPr>
        <w:t>（4）投标人有下列情形之一的，属于弄虚作假的行为：</w:t>
      </w:r>
    </w:p>
    <w:p>
      <w:pPr>
        <w:spacing w:line="400" w:lineRule="exact"/>
        <w:ind w:firstLine="480" w:firstLineChars="200"/>
        <w:rPr>
          <w:rFonts w:ascii="宋体" w:hAnsi="宋体" w:cs="仿宋"/>
          <w:sz w:val="24"/>
        </w:rPr>
      </w:pPr>
      <w:r>
        <w:rPr>
          <w:rFonts w:hint="eastAsia" w:ascii="宋体" w:hAnsi="宋体" w:cs="仿宋"/>
          <w:sz w:val="24"/>
        </w:rPr>
        <w:t>a.使用通过受让或租借等方式获取的资格、资质证书投标；</w:t>
      </w:r>
    </w:p>
    <w:p>
      <w:pPr>
        <w:spacing w:line="400" w:lineRule="exact"/>
        <w:ind w:firstLine="480" w:firstLineChars="200"/>
        <w:rPr>
          <w:rFonts w:ascii="宋体" w:hAnsi="宋体" w:cs="仿宋"/>
          <w:sz w:val="24"/>
        </w:rPr>
      </w:pPr>
      <w:r>
        <w:rPr>
          <w:rFonts w:hint="eastAsia" w:ascii="宋体" w:hAnsi="宋体" w:cs="仿宋"/>
          <w:sz w:val="24"/>
        </w:rPr>
        <w:t>b.使用伪造、变造的许可证件；</w:t>
      </w:r>
    </w:p>
    <w:p>
      <w:pPr>
        <w:spacing w:line="400" w:lineRule="exact"/>
        <w:ind w:firstLine="480" w:firstLineChars="200"/>
        <w:rPr>
          <w:rFonts w:ascii="宋体" w:hAnsi="宋体" w:cs="仿宋"/>
          <w:sz w:val="24"/>
        </w:rPr>
      </w:pPr>
      <w:r>
        <w:rPr>
          <w:rFonts w:hint="eastAsia" w:ascii="宋体" w:hAnsi="宋体" w:cs="仿宋"/>
          <w:sz w:val="24"/>
        </w:rPr>
        <w:t>c.提供虚假的财务状况或业绩；</w:t>
      </w:r>
    </w:p>
    <w:p>
      <w:pPr>
        <w:spacing w:line="400" w:lineRule="exact"/>
        <w:ind w:firstLine="480" w:firstLineChars="200"/>
        <w:rPr>
          <w:rFonts w:ascii="宋体" w:hAnsi="宋体" w:cs="仿宋"/>
          <w:sz w:val="24"/>
        </w:rPr>
      </w:pPr>
      <w:r>
        <w:rPr>
          <w:rFonts w:hint="eastAsia" w:ascii="宋体" w:hAnsi="宋体" w:cs="仿宋"/>
          <w:sz w:val="24"/>
        </w:rPr>
        <w:t>d.提供虚假的项目负责人或主要技术人员简历、劳动关系证明；</w:t>
      </w:r>
    </w:p>
    <w:p>
      <w:pPr>
        <w:spacing w:line="400" w:lineRule="exact"/>
        <w:ind w:firstLine="480" w:firstLineChars="200"/>
        <w:rPr>
          <w:rFonts w:ascii="宋体" w:hAnsi="宋体" w:cs="仿宋"/>
          <w:sz w:val="24"/>
        </w:rPr>
      </w:pPr>
      <w:r>
        <w:rPr>
          <w:rFonts w:hint="eastAsia" w:ascii="宋体" w:hAnsi="宋体" w:cs="仿宋"/>
          <w:sz w:val="24"/>
        </w:rPr>
        <w:t>e.提供虚假的信用状况；</w:t>
      </w:r>
    </w:p>
    <w:p>
      <w:pPr>
        <w:spacing w:line="400" w:lineRule="exact"/>
        <w:ind w:firstLine="480" w:firstLineChars="200"/>
        <w:rPr>
          <w:rFonts w:ascii="宋体" w:hAnsi="宋体" w:cs="仿宋"/>
          <w:sz w:val="24"/>
        </w:rPr>
      </w:pPr>
      <w:r>
        <w:rPr>
          <w:rFonts w:hint="eastAsia" w:ascii="宋体" w:hAnsi="宋体" w:cs="仿宋"/>
          <w:sz w:val="24"/>
        </w:rPr>
        <w:t>f.其他弄虚作假的行为。</w:t>
      </w:r>
    </w:p>
    <w:p>
      <w:pPr>
        <w:spacing w:line="400" w:lineRule="exact"/>
        <w:ind w:firstLine="240" w:firstLineChars="100"/>
        <w:rPr>
          <w:rFonts w:ascii="宋体" w:hAnsi="宋体" w:cs="仿宋"/>
          <w:sz w:val="24"/>
        </w:rPr>
      </w:pPr>
      <w:r>
        <w:rPr>
          <w:rFonts w:hint="eastAsia" w:ascii="宋体" w:hAnsi="宋体" w:cs="仿宋"/>
          <w:b/>
          <w:bCs/>
          <w:sz w:val="24"/>
        </w:rPr>
        <w:t>3.7投标文件的澄清和说明</w:t>
      </w:r>
    </w:p>
    <w:p>
      <w:pPr>
        <w:spacing w:line="400" w:lineRule="exact"/>
        <w:ind w:firstLine="480" w:firstLineChars="200"/>
        <w:rPr>
          <w:rFonts w:ascii="宋体" w:hAnsi="宋体" w:cs="仿宋"/>
          <w:sz w:val="24"/>
        </w:rPr>
      </w:pPr>
      <w:r>
        <w:rPr>
          <w:rFonts w:hint="eastAsia" w:ascii="宋体" w:hAnsi="宋体" w:cs="仿宋"/>
          <w:sz w:val="24"/>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80" w:firstLineChars="200"/>
        <w:rPr>
          <w:rFonts w:ascii="宋体" w:hAnsi="宋体" w:cs="仿宋"/>
          <w:sz w:val="24"/>
        </w:rPr>
      </w:pPr>
      <w:r>
        <w:rPr>
          <w:rFonts w:hint="eastAsia" w:ascii="宋体" w:hAnsi="宋体" w:cs="仿宋"/>
          <w:sz w:val="24"/>
        </w:rPr>
        <w:t>3.7.2澄清和说明不得超出投标文件的范围或改变投标文件的实质性内容（算术性错误的修正除外）。投标人的书面澄清、说明属于投标文件的组成部分。</w:t>
      </w:r>
    </w:p>
    <w:p>
      <w:pPr>
        <w:spacing w:line="400" w:lineRule="exact"/>
        <w:ind w:firstLine="480" w:firstLineChars="200"/>
        <w:rPr>
          <w:rFonts w:ascii="宋体" w:hAnsi="宋体" w:cs="仿宋"/>
          <w:sz w:val="24"/>
        </w:rPr>
      </w:pPr>
      <w:r>
        <w:rPr>
          <w:rFonts w:hint="eastAsia" w:ascii="宋体" w:hAnsi="宋体" w:cs="仿宋"/>
          <w:sz w:val="24"/>
        </w:rPr>
        <w:t>3.7.3评标委员会不得暗示或诱导投标人作出澄清、说明，对投标人提交的澄清、说明有疑问的，可以要求投标人进一步澄清或说明，直至满足评标委员会的要求。</w:t>
      </w:r>
    </w:p>
    <w:p>
      <w:pPr>
        <w:spacing w:line="400" w:lineRule="exact"/>
        <w:ind w:firstLine="480" w:firstLineChars="200"/>
        <w:rPr>
          <w:rFonts w:ascii="宋体" w:hAnsi="宋体" w:cs="仿宋"/>
          <w:sz w:val="24"/>
        </w:rPr>
      </w:pPr>
      <w:r>
        <w:rPr>
          <w:rFonts w:hint="eastAsia" w:ascii="宋体" w:hAnsi="宋体" w:cs="仿宋"/>
          <w:sz w:val="24"/>
        </w:rPr>
        <w:t>3.7.4凡超出招标文件规定的或给发包人带来未曾要求的利益的变化、偏差或其他因素在评标时不予考虑。</w:t>
      </w:r>
    </w:p>
    <w:p>
      <w:pPr>
        <w:spacing w:line="400" w:lineRule="exact"/>
        <w:ind w:firstLine="240" w:firstLineChars="100"/>
        <w:rPr>
          <w:rFonts w:ascii="宋体" w:hAnsi="宋体" w:cs="仿宋"/>
          <w:sz w:val="24"/>
        </w:rPr>
      </w:pPr>
      <w:r>
        <w:rPr>
          <w:rFonts w:hint="eastAsia" w:ascii="宋体" w:hAnsi="宋体" w:cs="仿宋"/>
          <w:b/>
          <w:bCs/>
          <w:sz w:val="24"/>
        </w:rPr>
        <w:t>3.8 不得否决投标的情形</w:t>
      </w:r>
    </w:p>
    <w:p>
      <w:pPr>
        <w:spacing w:line="400" w:lineRule="exact"/>
        <w:ind w:firstLine="480" w:firstLineChars="200"/>
        <w:rPr>
          <w:rFonts w:ascii="宋体" w:hAnsi="宋体" w:cs="仿宋"/>
          <w:sz w:val="24"/>
        </w:rPr>
      </w:pPr>
      <w:r>
        <w:rPr>
          <w:rFonts w:hint="eastAsia" w:ascii="宋体" w:hAnsi="宋体" w:cs="仿宋"/>
          <w:sz w:val="24"/>
        </w:rPr>
        <w:t>投标文件存在第二章“投标人须知”第 1.12.3 项所列情形的，均视为细微偏差，评标委员会不得否决投标人的投标，应按照第二章“投标人须知”第 1.12.4 项规定的原则处理。</w:t>
      </w:r>
    </w:p>
    <w:p>
      <w:pPr>
        <w:spacing w:line="400" w:lineRule="exact"/>
        <w:ind w:firstLine="240" w:firstLineChars="100"/>
        <w:rPr>
          <w:rFonts w:ascii="宋体" w:hAnsi="宋体" w:cs="仿宋"/>
          <w:sz w:val="24"/>
        </w:rPr>
      </w:pPr>
      <w:r>
        <w:rPr>
          <w:rFonts w:hint="eastAsia" w:ascii="宋体" w:hAnsi="宋体" w:cs="仿宋"/>
          <w:b/>
          <w:bCs/>
          <w:sz w:val="24"/>
        </w:rPr>
        <w:t>3.9评标结果</w:t>
      </w:r>
    </w:p>
    <w:p>
      <w:pPr>
        <w:spacing w:line="400" w:lineRule="exact"/>
        <w:ind w:firstLine="480" w:firstLineChars="200"/>
        <w:rPr>
          <w:rFonts w:ascii="宋体" w:hAnsi="宋体" w:cs="仿宋"/>
          <w:sz w:val="24"/>
        </w:rPr>
      </w:pPr>
      <w:r>
        <w:rPr>
          <w:rFonts w:hint="eastAsia" w:ascii="宋体" w:hAnsi="宋体" w:cs="仿宋"/>
          <w:sz w:val="24"/>
        </w:rPr>
        <w:t>3.9.1除第二章“投标人须知”前附表授权直接确定中标人外，评标委员会按照得分由高到低的顺序推荐中标候选人，并标明排序。</w:t>
      </w:r>
    </w:p>
    <w:p>
      <w:pPr>
        <w:spacing w:line="400" w:lineRule="exact"/>
        <w:ind w:firstLine="480" w:firstLineChars="200"/>
        <w:rPr>
          <w:rFonts w:ascii="宋体" w:hAnsi="宋体" w:cs="仿宋"/>
          <w:sz w:val="24"/>
        </w:rPr>
      </w:pPr>
      <w:r>
        <w:rPr>
          <w:rFonts w:hint="eastAsia" w:ascii="宋体" w:hAnsi="宋体" w:cs="仿宋"/>
          <w:sz w:val="24"/>
        </w:rPr>
        <w:t>3.9.2评标委员会完成评标后，应向招标人提交书面评标报告。</w:t>
      </w: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p>
    <w:p>
      <w:pPr>
        <w:spacing w:line="420" w:lineRule="exact"/>
        <w:ind w:firstLine="420" w:firstLineChars="200"/>
      </w:pPr>
      <w:r>
        <w:rPr>
          <w:rFonts w:hint="eastAsia"/>
        </w:rPr>
        <w:t>三</w:t>
      </w:r>
      <w:r>
        <w:rPr>
          <w:rFonts w:hint="eastAsia"/>
          <w:sz w:val="24"/>
        </w:rPr>
        <w:t>、监理资格审查</w:t>
      </w:r>
    </w:p>
    <w:p>
      <w:pPr>
        <w:spacing w:before="142"/>
        <w:ind w:left="143"/>
        <w:jc w:val="center"/>
        <w:rPr>
          <w:rFonts w:ascii="宋体" w:hAnsi="宋体" w:eastAsia="宋体" w:cs="宋体"/>
          <w:b/>
          <w:color w:val="000000"/>
          <w:kern w:val="0"/>
          <w:sz w:val="28"/>
          <w:szCs w:val="28"/>
        </w:rPr>
      </w:pPr>
      <w:r>
        <w:rPr>
          <w:rFonts w:ascii="宋体" w:hAnsi="宋体" w:eastAsia="宋体" w:cs="宋体"/>
          <w:b/>
          <w:color w:val="000000"/>
          <w:kern w:val="0"/>
          <w:sz w:val="28"/>
          <w:szCs w:val="28"/>
        </w:rPr>
        <w:t>附录 1  资格审查条件</w:t>
      </w:r>
      <w:r>
        <w:rPr>
          <w:rFonts w:hint="eastAsia" w:ascii="宋体" w:hAnsi="宋体" w:eastAsia="宋体" w:cs="宋体"/>
          <w:b/>
          <w:color w:val="000000"/>
          <w:kern w:val="0"/>
          <w:sz w:val="28"/>
          <w:szCs w:val="28"/>
        </w:rPr>
        <w:t>（</w:t>
      </w:r>
      <w:r>
        <w:rPr>
          <w:rFonts w:ascii="宋体" w:hAnsi="宋体" w:eastAsia="宋体" w:cs="宋体"/>
          <w:b/>
          <w:color w:val="000000"/>
          <w:kern w:val="0"/>
          <w:sz w:val="28"/>
          <w:szCs w:val="28"/>
        </w:rPr>
        <w:t>资质最低要求</w:t>
      </w:r>
      <w:r>
        <w:rPr>
          <w:rFonts w:hint="eastAsia" w:ascii="宋体" w:hAnsi="宋体" w:eastAsia="宋体" w:cs="宋体"/>
          <w:b/>
          <w:color w:val="000000"/>
          <w:kern w:val="0"/>
          <w:sz w:val="28"/>
          <w:szCs w:val="28"/>
        </w:rPr>
        <w:t>）</w:t>
      </w:r>
    </w:p>
    <w:p>
      <w:pPr>
        <w:spacing w:line="20" w:lineRule="exact"/>
        <w:ind w:left="241"/>
        <w:jc w:val="left"/>
        <w:rPr>
          <w:rFonts w:ascii="宋体" w:hAnsi="宋体" w:eastAsia="宋体" w:cs="宋体"/>
          <w:color w:val="000000"/>
          <w:kern w:val="0"/>
          <w:sz w:val="2"/>
          <w:szCs w:val="2"/>
        </w:rPr>
      </w:pPr>
    </w:p>
    <w:tbl>
      <w:tblPr>
        <w:tblStyle w:val="8"/>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9236" w:type="dxa"/>
            <w:vAlign w:val="center"/>
          </w:tcPr>
          <w:p>
            <w:pPr>
              <w:jc w:val="center"/>
              <w:rPr>
                <w:rFonts w:ascii="宋体" w:hAnsi="宋体" w:eastAsia="宋体" w:cs="宋体"/>
                <w:kern w:val="0"/>
                <w:sz w:val="20"/>
                <w:szCs w:val="21"/>
              </w:rPr>
            </w:pPr>
            <w:r>
              <w:rPr>
                <w:rFonts w:hint="eastAsia" w:ascii="宋体" w:hAnsi="宋体" w:eastAsia="宋体" w:cs="宋体"/>
                <w:kern w:val="0"/>
                <w:sz w:val="20"/>
                <w:szCs w:val="21"/>
              </w:rPr>
              <w:t>监理企业资质等级要求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3" w:hRule="atLeast"/>
        </w:trPr>
        <w:tc>
          <w:tcPr>
            <w:tcW w:w="9236" w:type="dxa"/>
            <w:vAlign w:val="center"/>
          </w:tcPr>
          <w:p>
            <w:pPr>
              <w:spacing w:line="460" w:lineRule="exact"/>
              <w:ind w:firstLine="400" w:firstLineChars="200"/>
              <w:jc w:val="left"/>
              <w:rPr>
                <w:rFonts w:ascii="宋体" w:hAnsi="宋体" w:eastAsia="宋体" w:cs="宋体"/>
                <w:kern w:val="0"/>
                <w:sz w:val="20"/>
                <w:szCs w:val="21"/>
              </w:rPr>
            </w:pPr>
            <w:r>
              <w:rPr>
                <w:rFonts w:hint="eastAsia" w:ascii="宋体" w:hAnsi="宋体" w:eastAsia="宋体" w:cs="宋体"/>
                <w:kern w:val="0"/>
                <w:sz w:val="20"/>
                <w:szCs w:val="21"/>
              </w:rPr>
              <w:t>具备交通运输主管部门颁发的公路工程专业</w:t>
            </w:r>
            <w:r>
              <w:rPr>
                <w:rFonts w:hint="eastAsia" w:ascii="宋体" w:hAnsi="宋体" w:eastAsia="宋体" w:cs="宋体"/>
                <w:kern w:val="0"/>
                <w:sz w:val="20"/>
                <w:szCs w:val="21"/>
                <w:u w:val="single"/>
              </w:rPr>
              <w:t>乙级</w:t>
            </w:r>
            <w:r>
              <w:rPr>
                <w:rFonts w:hint="eastAsia" w:ascii="宋体" w:hAnsi="宋体" w:eastAsia="宋体" w:cs="宋体"/>
                <w:kern w:val="0"/>
                <w:sz w:val="20"/>
                <w:szCs w:val="21"/>
              </w:rPr>
              <w:t>及以上监理资质证书；</w:t>
            </w:r>
          </w:p>
          <w:p>
            <w:pPr>
              <w:spacing w:line="460" w:lineRule="exact"/>
              <w:ind w:firstLine="400" w:firstLineChars="200"/>
              <w:jc w:val="left"/>
              <w:rPr>
                <w:rFonts w:ascii="宋体" w:hAnsi="宋体" w:eastAsia="宋体" w:cs="宋体"/>
                <w:kern w:val="0"/>
                <w:sz w:val="20"/>
                <w:szCs w:val="21"/>
                <w:u w:val="single"/>
              </w:rPr>
            </w:pPr>
            <w:r>
              <w:rPr>
                <w:rFonts w:hint="eastAsia" w:ascii="宋体" w:hAnsi="宋体" w:eastAsia="宋体" w:cs="宋体"/>
                <w:kern w:val="0"/>
                <w:sz w:val="20"/>
                <w:szCs w:val="21"/>
              </w:rPr>
              <w:t>开标会现场必须提交以下资质原件供审查：</w:t>
            </w:r>
            <w:r>
              <w:rPr>
                <w:rFonts w:hint="eastAsia" w:ascii="宋体" w:hAnsi="宋体" w:eastAsia="宋体" w:cs="宋体"/>
                <w:kern w:val="0"/>
                <w:sz w:val="20"/>
                <w:szCs w:val="21"/>
                <w:u w:val="single"/>
              </w:rPr>
              <w:t>营业执照（副本）、监理资质证书、注册监理工程师证、授权委托书及被授权人身份证原件，或以上经公证处公证的有效公证件；</w:t>
            </w:r>
          </w:p>
          <w:p>
            <w:pPr>
              <w:spacing w:line="460" w:lineRule="exact"/>
              <w:ind w:firstLine="400" w:firstLineChars="200"/>
              <w:jc w:val="left"/>
              <w:rPr>
                <w:rFonts w:ascii="宋体" w:hAnsi="宋体" w:eastAsia="宋体" w:cs="宋体"/>
                <w:kern w:val="0"/>
                <w:sz w:val="20"/>
                <w:szCs w:val="21"/>
              </w:rPr>
            </w:pPr>
            <w:r>
              <w:rPr>
                <w:rFonts w:hint="eastAsia" w:ascii="宋体" w:hAnsi="宋体" w:eastAsia="宋体" w:cs="宋体"/>
                <w:kern w:val="0"/>
                <w:sz w:val="20"/>
                <w:szCs w:val="21"/>
              </w:rPr>
              <w:t>本次招标要求投标人应进入交通运输部“全国公路建设市场信用信息管理系统（ http ：//glxy.mot.gov.cn）”中的公路工程施工资质企业名录，且投标人名称和资质与该名录中的相应企业名称和资质完全一致；若不能满足《关于发布公路工程从业企业资质名录的通知》(厅公路字【2011】114号)要求的企业必须按兵交发[2012]28号文《兵团公路建设市场信用信息管理办法》的规定完成备案，并能在《兵团公路建设市场信用信息系统》的平台上查到投标人的信息，否则其投标将被否决。</w:t>
            </w:r>
          </w:p>
          <w:p>
            <w:pPr>
              <w:jc w:val="center"/>
              <w:rPr>
                <w:rFonts w:ascii="宋体" w:hAnsi="宋体" w:eastAsia="宋体" w:cs="宋体"/>
                <w:kern w:val="0"/>
                <w:sz w:val="20"/>
                <w:szCs w:val="21"/>
              </w:rPr>
            </w:pPr>
          </w:p>
        </w:tc>
      </w:tr>
    </w:tbl>
    <w:p>
      <w:pPr>
        <w:spacing w:before="142"/>
        <w:rPr>
          <w:rFonts w:ascii="宋体" w:hAnsi="宋体" w:eastAsia="宋体" w:cs="宋体"/>
          <w:b/>
          <w:color w:val="000000"/>
          <w:kern w:val="0"/>
          <w:sz w:val="28"/>
          <w:szCs w:val="28"/>
        </w:rPr>
      </w:pPr>
    </w:p>
    <w:p>
      <w:pPr>
        <w:spacing w:before="142"/>
        <w:ind w:left="143"/>
        <w:jc w:val="center"/>
        <w:rPr>
          <w:rFonts w:ascii="宋体" w:hAnsi="宋体" w:eastAsia="宋体" w:cs="宋体"/>
          <w:b/>
          <w:color w:val="000000"/>
          <w:kern w:val="0"/>
          <w:sz w:val="28"/>
          <w:szCs w:val="28"/>
        </w:rPr>
      </w:pPr>
      <w:r>
        <w:rPr>
          <w:rFonts w:ascii="宋体" w:hAnsi="宋体" w:eastAsia="宋体" w:cs="宋体"/>
          <w:b/>
          <w:color w:val="000000"/>
          <w:kern w:val="0"/>
          <w:sz w:val="28"/>
          <w:szCs w:val="28"/>
        </w:rPr>
        <w:t>附录 2</w:t>
      </w:r>
      <w:r>
        <w:rPr>
          <w:rFonts w:ascii="宋体" w:hAnsi="宋体" w:eastAsia="宋体" w:cs="宋体"/>
          <w:b/>
          <w:color w:val="000000"/>
          <w:kern w:val="0"/>
          <w:sz w:val="28"/>
          <w:szCs w:val="28"/>
        </w:rPr>
        <w:tab/>
      </w:r>
      <w:r>
        <w:rPr>
          <w:rFonts w:ascii="宋体" w:hAnsi="宋体" w:eastAsia="宋体" w:cs="宋体"/>
          <w:b/>
          <w:color w:val="000000"/>
          <w:kern w:val="0"/>
          <w:sz w:val="28"/>
          <w:szCs w:val="28"/>
        </w:rPr>
        <w:t>资格审查条件</w:t>
      </w:r>
      <w:r>
        <w:rPr>
          <w:rFonts w:hint="eastAsia" w:ascii="宋体" w:hAnsi="宋体" w:eastAsia="宋体" w:cs="宋体"/>
          <w:b/>
          <w:color w:val="000000"/>
          <w:kern w:val="0"/>
          <w:sz w:val="28"/>
          <w:szCs w:val="28"/>
        </w:rPr>
        <w:t>（</w:t>
      </w:r>
      <w:r>
        <w:rPr>
          <w:rFonts w:ascii="宋体" w:hAnsi="宋体" w:eastAsia="宋体" w:cs="宋体"/>
          <w:b/>
          <w:color w:val="000000"/>
          <w:kern w:val="0"/>
          <w:sz w:val="28"/>
          <w:szCs w:val="28"/>
        </w:rPr>
        <w:t>业绩最低要求</w:t>
      </w:r>
      <w:r>
        <w:rPr>
          <w:rFonts w:hint="eastAsia" w:ascii="宋体" w:hAnsi="宋体" w:eastAsia="宋体" w:cs="宋体"/>
          <w:b/>
          <w:color w:val="000000"/>
          <w:kern w:val="0"/>
          <w:sz w:val="28"/>
          <w:szCs w:val="28"/>
        </w:rPr>
        <w:t>）</w:t>
      </w:r>
    </w:p>
    <w:p>
      <w:pPr>
        <w:rPr>
          <w:rFonts w:ascii="宋体" w:hAnsi="宋体" w:eastAsia="宋体" w:cs="宋体"/>
          <w:color w:val="000000"/>
          <w:kern w:val="0"/>
          <w:sz w:val="20"/>
          <w:szCs w:val="20"/>
        </w:rPr>
      </w:pPr>
    </w:p>
    <w:tbl>
      <w:tblPr>
        <w:tblStyle w:val="8"/>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9236" w:type="dxa"/>
            <w:vAlign w:val="center"/>
          </w:tcPr>
          <w:p>
            <w:pPr>
              <w:jc w:val="center"/>
              <w:rPr>
                <w:rFonts w:ascii="Calibri" w:hAnsi="Calibri" w:eastAsia="宋体" w:cs="Times New Roman"/>
                <w:kern w:val="0"/>
                <w:sz w:val="20"/>
                <w:szCs w:val="21"/>
                <w:lang w:eastAsia="en-US"/>
              </w:rPr>
            </w:pPr>
            <w:r>
              <w:rPr>
                <w:rFonts w:ascii="Calibri" w:hAnsi="Calibri" w:eastAsia="宋体" w:cs="Times New Roman"/>
                <w:kern w:val="0"/>
                <w:sz w:val="20"/>
                <w:szCs w:val="21"/>
                <w:lang w:eastAsia="en-US"/>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trPr>
        <w:tc>
          <w:tcPr>
            <w:tcW w:w="9236" w:type="dxa"/>
            <w:vAlign w:val="center"/>
          </w:tcPr>
          <w:p>
            <w:pPr>
              <w:spacing w:line="360" w:lineRule="auto"/>
              <w:ind w:firstLine="480" w:firstLineChars="200"/>
              <w:jc w:val="left"/>
              <w:rPr>
                <w:rFonts w:ascii="宋体" w:hAnsi="宋体" w:eastAsia="宋体" w:cs="仿宋"/>
                <w:bCs/>
                <w:kern w:val="0"/>
                <w:sz w:val="24"/>
                <w:szCs w:val="20"/>
              </w:rPr>
            </w:pPr>
            <w:r>
              <w:rPr>
                <w:rFonts w:hint="eastAsia" w:ascii="宋体" w:hAnsi="宋体" w:eastAsia="宋体" w:cs="仿宋"/>
                <w:bCs/>
                <w:kern w:val="0"/>
                <w:sz w:val="24"/>
                <w:szCs w:val="20"/>
              </w:rPr>
              <w:t xml:space="preserve">近 </w:t>
            </w:r>
            <w:r>
              <w:rPr>
                <w:rFonts w:hint="eastAsia" w:ascii="宋体" w:hAnsi="宋体" w:eastAsia="宋体" w:cs="仿宋"/>
                <w:bCs/>
                <w:kern w:val="0"/>
                <w:sz w:val="24"/>
                <w:szCs w:val="20"/>
                <w:u w:val="single"/>
              </w:rPr>
              <w:t xml:space="preserve"> 3  </w:t>
            </w:r>
            <w:r>
              <w:rPr>
                <w:rFonts w:hint="eastAsia" w:ascii="宋体" w:hAnsi="宋体" w:eastAsia="宋体" w:cs="仿宋"/>
                <w:bCs/>
                <w:kern w:val="0"/>
                <w:sz w:val="24"/>
                <w:szCs w:val="20"/>
              </w:rPr>
              <w:t>年内至少独立完成过2项单个合同段不少于</w:t>
            </w:r>
            <w:r>
              <w:rPr>
                <w:rFonts w:hint="eastAsia" w:ascii="宋体" w:hAnsi="宋体" w:eastAsia="宋体" w:cs="仿宋"/>
                <w:bCs/>
                <w:kern w:val="0"/>
                <w:sz w:val="24"/>
                <w:szCs w:val="20"/>
                <w:u w:val="single"/>
              </w:rPr>
              <w:t>5公里 二 级</w:t>
            </w:r>
            <w:r>
              <w:rPr>
                <w:rFonts w:hint="eastAsia" w:ascii="宋体" w:hAnsi="宋体" w:eastAsia="宋体" w:cs="仿宋"/>
                <w:bCs/>
                <w:kern w:val="0"/>
                <w:sz w:val="24"/>
                <w:szCs w:val="20"/>
              </w:rPr>
              <w:t>公路（含以上） 路基、路面、桥涵、平面交叉、安全设施工程的监理任务，否则按否决投标处理。(2015年1月1日-至今)</w:t>
            </w:r>
          </w:p>
          <w:p>
            <w:pPr>
              <w:spacing w:line="360" w:lineRule="auto"/>
              <w:ind w:firstLine="480" w:firstLineChars="200"/>
              <w:jc w:val="left"/>
              <w:rPr>
                <w:rFonts w:ascii="宋体" w:hAnsi="宋体" w:eastAsia="宋体" w:cs="仿宋"/>
                <w:bCs/>
                <w:kern w:val="0"/>
                <w:sz w:val="24"/>
                <w:szCs w:val="20"/>
              </w:rPr>
            </w:pPr>
            <w:r>
              <w:rPr>
                <w:rFonts w:hint="eastAsia" w:ascii="宋体" w:hAnsi="宋体" w:eastAsia="宋体" w:cs="仿宋"/>
                <w:bCs/>
                <w:kern w:val="0"/>
                <w:sz w:val="24"/>
                <w:szCs w:val="20"/>
              </w:rPr>
              <w:t>（母子公司的业绩不能相互使用；单位名称发生变更的如未提供有效的企业变更批件，则其业绩不予计算)</w:t>
            </w:r>
          </w:p>
          <w:p>
            <w:pPr>
              <w:spacing w:line="360" w:lineRule="auto"/>
              <w:ind w:firstLine="480" w:firstLineChars="200"/>
              <w:jc w:val="left"/>
              <w:rPr>
                <w:rFonts w:ascii="Calibri" w:hAnsi="Calibri" w:eastAsia="宋体" w:cs="Times New Roman"/>
                <w:kern w:val="0"/>
                <w:sz w:val="20"/>
                <w:szCs w:val="21"/>
              </w:rPr>
            </w:pPr>
            <w:r>
              <w:rPr>
                <w:rFonts w:hint="eastAsia" w:ascii="宋体" w:hAnsi="宋体" w:eastAsia="宋体" w:cs="仿宋"/>
                <w:bCs/>
                <w:kern w:val="0"/>
                <w:sz w:val="24"/>
                <w:szCs w:val="20"/>
              </w:rPr>
              <w:t>注：投标人若被推荐为中标候选人，其投标文件中按本表所填报项目业绩将成为评标结果公示内容，如内容经核实与事实不符或弄虚作假，招标人有权取消其中标资格，并由其承担由此引起的一切后果。</w:t>
            </w:r>
          </w:p>
        </w:tc>
      </w:tr>
    </w:tbl>
    <w:p>
      <w:pPr>
        <w:spacing w:before="3"/>
        <w:jc w:val="left"/>
        <w:rPr>
          <w:rFonts w:ascii="宋体" w:hAnsi="宋体" w:eastAsia="宋体" w:cs="宋体"/>
          <w:color w:val="000000"/>
          <w:kern w:val="0"/>
          <w:sz w:val="24"/>
          <w:szCs w:val="24"/>
        </w:rPr>
      </w:pPr>
    </w:p>
    <w:p>
      <w:pPr>
        <w:spacing w:line="20" w:lineRule="exact"/>
        <w:ind w:left="121"/>
        <w:jc w:val="left"/>
        <w:rPr>
          <w:rFonts w:ascii="宋体" w:hAnsi="宋体" w:eastAsia="宋体" w:cs="宋体"/>
          <w:color w:val="000000"/>
          <w:kern w:val="0"/>
          <w:sz w:val="2"/>
          <w:szCs w:val="2"/>
        </w:rPr>
      </w:pPr>
    </w:p>
    <w:p>
      <w:pPr>
        <w:jc w:val="left"/>
        <w:rPr>
          <w:rFonts w:ascii="宋体" w:hAnsi="宋体" w:eastAsia="宋体" w:cs="宋体"/>
          <w:color w:val="000000"/>
          <w:kern w:val="0"/>
          <w:sz w:val="20"/>
          <w:szCs w:val="20"/>
        </w:rPr>
      </w:pPr>
      <w:r>
        <w:rPr>
          <w:rFonts w:hint="eastAsia" w:ascii="宋体" w:hAnsi="宋体" w:eastAsia="宋体" w:cs="Times New Roman"/>
          <w:color w:val="000000"/>
          <w:kern w:val="0"/>
          <w:sz w:val="22"/>
          <w:szCs w:val="21"/>
        </w:rPr>
        <w:t>注：上述业绩应要求投标人出具中标通知书或合同协议书或交(竣)工验收证书；母子公司的业绩不能相互使用；单位名称发生变更的如未提供有效的企业变更批件，则其业绩不予计算。</w:t>
      </w: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p>
    <w:p>
      <w:pPr>
        <w:tabs>
          <w:tab w:val="left" w:pos="1189"/>
        </w:tabs>
        <w:spacing w:before="13"/>
        <w:ind w:left="143"/>
        <w:jc w:val="center"/>
        <w:rPr>
          <w:rFonts w:ascii="宋体" w:hAnsi="宋体" w:eastAsia="宋体" w:cs="宋体"/>
          <w:b/>
          <w:color w:val="000000"/>
          <w:kern w:val="0"/>
          <w:sz w:val="28"/>
          <w:szCs w:val="28"/>
        </w:rPr>
      </w:pPr>
      <w:r>
        <w:rPr>
          <w:rFonts w:ascii="宋体" w:hAnsi="宋体" w:eastAsia="宋体" w:cs="宋体"/>
          <w:b/>
          <w:color w:val="000000"/>
          <w:kern w:val="0"/>
          <w:sz w:val="28"/>
          <w:szCs w:val="28"/>
        </w:rPr>
        <w:t>附录 3</w:t>
      </w:r>
      <w:r>
        <w:rPr>
          <w:rFonts w:ascii="宋体" w:hAnsi="宋体" w:eastAsia="宋体" w:cs="宋体"/>
          <w:b/>
          <w:color w:val="000000"/>
          <w:kern w:val="0"/>
          <w:sz w:val="28"/>
          <w:szCs w:val="28"/>
        </w:rPr>
        <w:tab/>
      </w:r>
      <w:r>
        <w:rPr>
          <w:rFonts w:ascii="宋体" w:hAnsi="宋体" w:eastAsia="宋体" w:cs="宋体"/>
          <w:b/>
          <w:color w:val="000000"/>
          <w:kern w:val="0"/>
          <w:sz w:val="28"/>
          <w:szCs w:val="28"/>
        </w:rPr>
        <w:t xml:space="preserve">资格审查条件 （信誉最低要求） </w:t>
      </w:r>
    </w:p>
    <w:p>
      <w:pPr>
        <w:spacing w:line="20" w:lineRule="exact"/>
        <w:ind w:left="241"/>
        <w:jc w:val="left"/>
        <w:rPr>
          <w:rFonts w:ascii="宋体" w:hAnsi="宋体" w:eastAsia="宋体" w:cs="宋体"/>
          <w:color w:val="000000"/>
          <w:kern w:val="0"/>
          <w:sz w:val="2"/>
          <w:szCs w:val="2"/>
        </w:rPr>
      </w:pPr>
    </w:p>
    <w:tbl>
      <w:tblPr>
        <w:tblStyle w:val="8"/>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9236" w:type="dxa"/>
            <w:vAlign w:val="center"/>
          </w:tcPr>
          <w:p>
            <w:pPr>
              <w:jc w:val="center"/>
              <w:rPr>
                <w:rFonts w:ascii="宋体" w:hAnsi="宋体" w:eastAsia="宋体" w:cs="宋体"/>
                <w:kern w:val="0"/>
                <w:sz w:val="20"/>
                <w:szCs w:val="21"/>
                <w:lang w:eastAsia="en-US"/>
              </w:rPr>
            </w:pPr>
            <w:r>
              <w:rPr>
                <w:rFonts w:hint="eastAsia" w:ascii="宋体" w:hAnsi="宋体" w:eastAsia="宋体" w:cs="宋体"/>
                <w:kern w:val="0"/>
                <w:sz w:val="20"/>
                <w:szCs w:val="21"/>
                <w:lang w:eastAsia="en-US"/>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0" w:hRule="atLeast"/>
        </w:trPr>
        <w:tc>
          <w:tcPr>
            <w:tcW w:w="9236" w:type="dxa"/>
            <w:vAlign w:val="center"/>
          </w:tcPr>
          <w:p>
            <w:pPr>
              <w:spacing w:line="360" w:lineRule="auto"/>
              <w:jc w:val="left"/>
              <w:rPr>
                <w:rFonts w:ascii="宋体" w:hAnsi="宋体" w:eastAsia="宋体" w:cs="Times New Roman"/>
                <w:kern w:val="0"/>
                <w:sz w:val="24"/>
                <w:szCs w:val="20"/>
              </w:rPr>
            </w:pPr>
            <w:r>
              <w:rPr>
                <w:rFonts w:hint="eastAsia" w:ascii="宋体" w:hAnsi="宋体" w:eastAsia="宋体" w:cs="Times New Roman"/>
                <w:kern w:val="0"/>
                <w:sz w:val="24"/>
                <w:szCs w:val="20"/>
              </w:rPr>
              <w:t>1.未被省级及以上交通运输主管部门取消招标项目所在地的投标资格且处于有效期内；</w:t>
            </w:r>
          </w:p>
          <w:p>
            <w:pPr>
              <w:spacing w:line="360" w:lineRule="auto"/>
              <w:jc w:val="left"/>
              <w:rPr>
                <w:rFonts w:ascii="宋体" w:hAnsi="宋体" w:eastAsia="宋体" w:cs="Times New Roman"/>
                <w:kern w:val="0"/>
                <w:sz w:val="24"/>
                <w:szCs w:val="20"/>
              </w:rPr>
            </w:pPr>
            <w:r>
              <w:rPr>
                <w:rFonts w:hint="eastAsia" w:ascii="宋体" w:hAnsi="宋体" w:eastAsia="宋体" w:cs="Times New Roman"/>
                <w:kern w:val="0"/>
                <w:sz w:val="24"/>
                <w:szCs w:val="20"/>
              </w:rPr>
              <w:t>2.未被责令停业，暂扣或吊销执照，或吊销资质证书；</w:t>
            </w:r>
          </w:p>
          <w:p>
            <w:pPr>
              <w:spacing w:line="360" w:lineRule="auto"/>
              <w:jc w:val="left"/>
              <w:rPr>
                <w:rFonts w:ascii="宋体" w:hAnsi="宋体" w:eastAsia="宋体" w:cs="Times New Roman"/>
                <w:kern w:val="0"/>
                <w:sz w:val="24"/>
                <w:szCs w:val="20"/>
              </w:rPr>
            </w:pPr>
            <w:r>
              <w:rPr>
                <w:rFonts w:hint="eastAsia" w:ascii="宋体" w:hAnsi="宋体" w:eastAsia="宋体" w:cs="Times New Roman"/>
                <w:kern w:val="0"/>
                <w:sz w:val="24"/>
                <w:szCs w:val="20"/>
              </w:rPr>
              <w:t>3.未进入清算程序，或被宣告破产，或其他丧失履约能力的情形；</w:t>
            </w:r>
          </w:p>
          <w:p>
            <w:pPr>
              <w:spacing w:line="360" w:lineRule="auto"/>
              <w:jc w:val="left"/>
              <w:rPr>
                <w:rFonts w:ascii="宋体" w:hAnsi="宋体" w:eastAsia="宋体" w:cs="Times New Roman"/>
                <w:kern w:val="0"/>
                <w:sz w:val="24"/>
                <w:szCs w:val="20"/>
              </w:rPr>
            </w:pPr>
            <w:r>
              <w:rPr>
                <w:rFonts w:hint="eastAsia" w:ascii="宋体" w:hAnsi="宋体" w:eastAsia="宋体" w:cs="Times New Roman"/>
                <w:kern w:val="0"/>
                <w:sz w:val="24"/>
                <w:szCs w:val="20"/>
                <w:lang w:eastAsia="en-US"/>
              </w:rPr>
              <w:t>4.未在“信用中国”网站（http://www.creditchina.gov.cn/）中被列入失信被执行人名单；</w:t>
            </w:r>
          </w:p>
          <w:p>
            <w:pPr>
              <w:spacing w:line="360" w:lineRule="auto"/>
              <w:jc w:val="left"/>
              <w:rPr>
                <w:rFonts w:ascii="宋体" w:hAnsi="宋体" w:eastAsia="宋体" w:cs="Times New Roman"/>
                <w:kern w:val="0"/>
                <w:sz w:val="24"/>
                <w:szCs w:val="20"/>
              </w:rPr>
            </w:pPr>
            <w:r>
              <w:rPr>
                <w:rFonts w:hint="eastAsia" w:ascii="宋体" w:hAnsi="宋体" w:eastAsia="宋体" w:cs="Times New Roman"/>
                <w:kern w:val="0"/>
                <w:sz w:val="24"/>
                <w:szCs w:val="20"/>
              </w:rPr>
              <w:t>5.投标人没有涉及正在诉讼的案件，或涉及正在诉讼的案件但经评审委员会认定不会对承担项目造成重大影响；</w:t>
            </w:r>
          </w:p>
          <w:p>
            <w:pPr>
              <w:rPr>
                <w:rFonts w:ascii="宋体" w:hAnsi="宋体" w:eastAsia="宋体" w:cs="宋体"/>
                <w:kern w:val="0"/>
                <w:sz w:val="20"/>
                <w:szCs w:val="21"/>
              </w:rPr>
            </w:pPr>
            <w:r>
              <w:rPr>
                <w:rFonts w:hint="eastAsia" w:ascii="宋体" w:hAnsi="宋体" w:eastAsia="宋体" w:cs="Times New Roman"/>
                <w:kern w:val="0"/>
                <w:sz w:val="24"/>
                <w:szCs w:val="20"/>
              </w:rPr>
              <w:t>6.投标人必须提供上一年度信用评价结果证明，已在兵团从业的单位，必须提供兵团公路建设市场信用评价等级证明（新成立的单位若无信用评价证明文件则可不提供）。</w:t>
            </w:r>
          </w:p>
        </w:tc>
      </w:tr>
    </w:tbl>
    <w:p>
      <w:pPr>
        <w:spacing w:before="6"/>
        <w:jc w:val="left"/>
        <w:rPr>
          <w:rFonts w:ascii="宋体" w:hAnsi="宋体" w:eastAsia="宋体" w:cs="宋体"/>
          <w:color w:val="000000"/>
          <w:kern w:val="0"/>
          <w:sz w:val="20"/>
          <w:szCs w:val="20"/>
        </w:rPr>
      </w:pPr>
    </w:p>
    <w:p>
      <w:pPr>
        <w:spacing w:before="6"/>
        <w:jc w:val="left"/>
        <w:rPr>
          <w:rFonts w:ascii="宋体" w:hAnsi="宋体" w:eastAsia="宋体" w:cs="宋体"/>
          <w:color w:val="000000"/>
          <w:kern w:val="0"/>
          <w:sz w:val="28"/>
          <w:szCs w:val="28"/>
        </w:rPr>
      </w:pPr>
    </w:p>
    <w:p>
      <w:pPr>
        <w:spacing w:before="6"/>
        <w:jc w:val="left"/>
        <w:rPr>
          <w:rFonts w:ascii="宋体" w:hAnsi="宋体" w:eastAsia="宋体" w:cs="宋体"/>
          <w:color w:val="000000"/>
          <w:kern w:val="0"/>
          <w:sz w:val="28"/>
          <w:szCs w:val="28"/>
        </w:rPr>
      </w:pPr>
    </w:p>
    <w:p>
      <w:pPr>
        <w:spacing w:before="6"/>
        <w:jc w:val="left"/>
        <w:rPr>
          <w:rFonts w:ascii="宋体" w:hAnsi="宋体" w:eastAsia="宋体" w:cs="宋体"/>
          <w:color w:val="000000"/>
          <w:kern w:val="0"/>
          <w:sz w:val="28"/>
          <w:szCs w:val="28"/>
        </w:rPr>
      </w:pPr>
    </w:p>
    <w:p>
      <w:pPr>
        <w:tabs>
          <w:tab w:val="left" w:pos="1433"/>
        </w:tabs>
        <w:spacing w:before="13"/>
        <w:ind w:left="382" w:right="140"/>
        <w:jc w:val="center"/>
        <w:rPr>
          <w:rFonts w:ascii="宋体" w:hAnsi="宋体" w:eastAsia="宋体" w:cs="宋体"/>
          <w:b/>
          <w:color w:val="000000"/>
          <w:spacing w:val="-13"/>
          <w:kern w:val="0"/>
          <w:sz w:val="27"/>
          <w:szCs w:val="27"/>
        </w:rPr>
      </w:pPr>
      <w:r>
        <w:rPr>
          <w:rFonts w:ascii="宋体" w:hAnsi="宋体" w:eastAsia="宋体" w:cs="宋体"/>
          <w:b/>
          <w:color w:val="000000"/>
          <w:spacing w:val="-18"/>
          <w:kern w:val="0"/>
          <w:sz w:val="28"/>
          <w:szCs w:val="28"/>
        </w:rPr>
        <w:t>附录</w:t>
      </w:r>
      <w:r>
        <w:rPr>
          <w:rFonts w:ascii="宋体" w:hAnsi="宋体" w:eastAsia="宋体" w:cs="宋体"/>
          <w:b/>
          <w:color w:val="000000"/>
          <w:spacing w:val="-33"/>
          <w:kern w:val="0"/>
          <w:sz w:val="28"/>
          <w:szCs w:val="28"/>
        </w:rPr>
        <w:t xml:space="preserve"> </w:t>
      </w:r>
      <w:r>
        <w:rPr>
          <w:rFonts w:ascii="Arial" w:hAnsi="Arial" w:eastAsia="Arial" w:cs="Arial"/>
          <w:b/>
          <w:color w:val="000000"/>
          <w:kern w:val="0"/>
          <w:sz w:val="26"/>
          <w:szCs w:val="26"/>
        </w:rPr>
        <w:t>4</w:t>
      </w:r>
      <w:r>
        <w:rPr>
          <w:rFonts w:ascii="Arial" w:hAnsi="Arial" w:eastAsia="Arial" w:cs="Arial"/>
          <w:b/>
          <w:color w:val="000000"/>
          <w:kern w:val="0"/>
          <w:sz w:val="26"/>
          <w:szCs w:val="26"/>
        </w:rPr>
        <w:tab/>
      </w:r>
      <w:r>
        <w:rPr>
          <w:rFonts w:ascii="宋体" w:hAnsi="宋体" w:eastAsia="宋体" w:cs="宋体"/>
          <w:b/>
          <w:color w:val="000000"/>
          <w:spacing w:val="-22"/>
          <w:kern w:val="0"/>
          <w:sz w:val="27"/>
          <w:szCs w:val="27"/>
        </w:rPr>
        <w:t>资格审查条</w:t>
      </w:r>
      <w:r>
        <w:rPr>
          <w:rFonts w:ascii="宋体" w:hAnsi="宋体" w:eastAsia="宋体" w:cs="宋体"/>
          <w:b/>
          <w:spacing w:val="-22"/>
          <w:kern w:val="0"/>
          <w:sz w:val="27"/>
          <w:szCs w:val="27"/>
        </w:rPr>
        <w:t>件</w:t>
      </w:r>
      <w:r>
        <w:rPr>
          <w:rFonts w:hint="eastAsia" w:ascii="宋体" w:hAnsi="宋体" w:eastAsia="宋体" w:cs="宋体"/>
          <w:b/>
          <w:spacing w:val="-13"/>
          <w:kern w:val="0"/>
          <w:sz w:val="27"/>
          <w:szCs w:val="27"/>
        </w:rPr>
        <w:t>（</w:t>
      </w:r>
      <w:r>
        <w:rPr>
          <w:rFonts w:ascii="宋体" w:hAnsi="宋体" w:eastAsia="宋体" w:cs="宋体"/>
          <w:b/>
          <w:spacing w:val="-13"/>
          <w:kern w:val="0"/>
          <w:sz w:val="27"/>
          <w:szCs w:val="27"/>
        </w:rPr>
        <w:t>总监理工程师或驻地监理工程师最低要求</w:t>
      </w:r>
      <w:r>
        <w:rPr>
          <w:rFonts w:hint="eastAsia" w:ascii="宋体" w:hAnsi="宋体" w:eastAsia="宋体" w:cs="宋体"/>
          <w:b/>
          <w:spacing w:val="-13"/>
          <w:kern w:val="0"/>
          <w:sz w:val="27"/>
          <w:szCs w:val="27"/>
        </w:rPr>
        <w:t>）</w:t>
      </w:r>
    </w:p>
    <w:tbl>
      <w:tblPr>
        <w:tblStyle w:val="8"/>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40"/>
        <w:gridCol w:w="5280"/>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231" w:type="dxa"/>
            <w:vAlign w:val="center"/>
          </w:tcPr>
          <w:p>
            <w:pPr>
              <w:jc w:val="center"/>
              <w:rPr>
                <w:rFonts w:ascii="宋体" w:hAnsi="宋体" w:eastAsia="宋体" w:cs="宋体"/>
                <w:b/>
                <w:bCs/>
                <w:kern w:val="0"/>
                <w:sz w:val="28"/>
                <w:szCs w:val="28"/>
              </w:rPr>
            </w:pPr>
            <w:r>
              <w:rPr>
                <w:rFonts w:hint="eastAsia" w:ascii="宋体" w:hAnsi="宋体" w:eastAsia="宋体" w:cs="宋体"/>
                <w:b/>
                <w:bCs/>
                <w:kern w:val="0"/>
                <w:sz w:val="28"/>
                <w:szCs w:val="28"/>
              </w:rPr>
              <w:t>人员</w:t>
            </w:r>
          </w:p>
        </w:tc>
        <w:tc>
          <w:tcPr>
            <w:tcW w:w="1140" w:type="dxa"/>
            <w:vAlign w:val="center"/>
          </w:tcPr>
          <w:p>
            <w:pPr>
              <w:jc w:val="center"/>
              <w:rPr>
                <w:rFonts w:ascii="宋体" w:hAnsi="宋体" w:eastAsia="宋体" w:cs="宋体"/>
                <w:b/>
                <w:bCs/>
                <w:kern w:val="0"/>
                <w:sz w:val="28"/>
                <w:szCs w:val="28"/>
              </w:rPr>
            </w:pPr>
            <w:r>
              <w:rPr>
                <w:rFonts w:hint="eastAsia" w:ascii="宋体" w:hAnsi="宋体" w:eastAsia="宋体" w:cs="宋体"/>
                <w:b/>
                <w:bCs/>
                <w:kern w:val="0"/>
                <w:sz w:val="28"/>
                <w:szCs w:val="28"/>
              </w:rPr>
              <w:t>数量</w:t>
            </w:r>
          </w:p>
        </w:tc>
        <w:tc>
          <w:tcPr>
            <w:tcW w:w="5280" w:type="dxa"/>
            <w:vAlign w:val="center"/>
          </w:tcPr>
          <w:p>
            <w:pPr>
              <w:jc w:val="center"/>
              <w:rPr>
                <w:rFonts w:ascii="宋体" w:hAnsi="宋体" w:eastAsia="宋体" w:cs="宋体"/>
                <w:b/>
                <w:bCs/>
                <w:kern w:val="0"/>
                <w:sz w:val="28"/>
                <w:szCs w:val="28"/>
              </w:rPr>
            </w:pPr>
            <w:r>
              <w:rPr>
                <w:rFonts w:hint="eastAsia" w:ascii="宋体" w:hAnsi="宋体" w:eastAsia="宋体" w:cs="宋体"/>
                <w:b/>
                <w:bCs/>
                <w:kern w:val="0"/>
                <w:sz w:val="28"/>
                <w:szCs w:val="28"/>
              </w:rPr>
              <w:t>资格要求</w:t>
            </w:r>
          </w:p>
        </w:tc>
        <w:tc>
          <w:tcPr>
            <w:tcW w:w="1585" w:type="dxa"/>
            <w:vAlign w:val="center"/>
          </w:tcPr>
          <w:p>
            <w:pPr>
              <w:jc w:val="center"/>
              <w:rPr>
                <w:rFonts w:ascii="宋体" w:hAnsi="宋体" w:eastAsia="宋体" w:cs="宋体"/>
                <w:b/>
                <w:bCs/>
                <w:kern w:val="0"/>
                <w:sz w:val="28"/>
                <w:szCs w:val="28"/>
              </w:rPr>
            </w:pPr>
            <w:r>
              <w:rPr>
                <w:rFonts w:hint="eastAsia" w:ascii="宋体" w:hAnsi="宋体" w:eastAsia="宋体" w:cs="宋体"/>
                <w:b/>
                <w:bCs/>
                <w:kern w:val="0"/>
                <w:sz w:val="28"/>
                <w:szCs w:val="28"/>
              </w:rPr>
              <w:t>在岗要求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231" w:type="dxa"/>
            <w:vAlign w:val="center"/>
          </w:tcPr>
          <w:p>
            <w:pPr>
              <w:spacing w:line="260" w:lineRule="exact"/>
              <w:jc w:val="center"/>
              <w:rPr>
                <w:rFonts w:ascii="Calibri" w:hAnsi="Calibri" w:eastAsia="宋体" w:cs="Times New Roman"/>
                <w:kern w:val="0"/>
                <w:sz w:val="24"/>
                <w:szCs w:val="20"/>
                <w:lang w:eastAsia="en-US"/>
              </w:rPr>
            </w:pPr>
            <w:r>
              <w:rPr>
                <w:rFonts w:hint="eastAsia" w:ascii="Calibri" w:hAnsi="Calibri" w:eastAsia="宋体" w:cs="Times New Roman"/>
                <w:kern w:val="0"/>
                <w:sz w:val="24"/>
                <w:szCs w:val="20"/>
                <w:lang w:eastAsia="en-US"/>
              </w:rPr>
              <w:t>总监理</w:t>
            </w:r>
          </w:p>
          <w:p>
            <w:pPr>
              <w:spacing w:line="260" w:lineRule="exact"/>
              <w:jc w:val="center"/>
              <w:rPr>
                <w:rFonts w:ascii="宋体" w:hAnsi="宋体" w:eastAsia="宋体" w:cs="宋体"/>
                <w:kern w:val="0"/>
                <w:sz w:val="28"/>
                <w:szCs w:val="28"/>
                <w:lang w:eastAsia="en-US"/>
              </w:rPr>
            </w:pPr>
            <w:r>
              <w:rPr>
                <w:rFonts w:hint="eastAsia" w:ascii="Calibri" w:hAnsi="Calibri" w:eastAsia="宋体" w:cs="Times New Roman"/>
                <w:kern w:val="0"/>
                <w:sz w:val="24"/>
                <w:szCs w:val="20"/>
                <w:lang w:eastAsia="en-US"/>
              </w:rPr>
              <w:t>工程师</w:t>
            </w:r>
          </w:p>
        </w:tc>
        <w:tc>
          <w:tcPr>
            <w:tcW w:w="1140" w:type="dxa"/>
            <w:vAlign w:val="center"/>
          </w:tcPr>
          <w:p>
            <w:pPr>
              <w:spacing w:line="260" w:lineRule="exact"/>
              <w:jc w:val="center"/>
              <w:rPr>
                <w:rFonts w:ascii="Calibri" w:hAnsi="Calibri" w:eastAsia="宋体" w:cs="Times New Roman"/>
                <w:color w:val="000000"/>
                <w:kern w:val="0"/>
                <w:sz w:val="24"/>
                <w:szCs w:val="20"/>
              </w:rPr>
            </w:pPr>
            <w:r>
              <w:rPr>
                <w:rFonts w:hint="eastAsia" w:ascii="Calibri" w:hAnsi="Calibri" w:eastAsia="宋体" w:cs="Times New Roman"/>
                <w:color w:val="000000"/>
                <w:kern w:val="0"/>
                <w:sz w:val="24"/>
                <w:szCs w:val="20"/>
              </w:rPr>
              <w:t>1人</w:t>
            </w:r>
          </w:p>
        </w:tc>
        <w:tc>
          <w:tcPr>
            <w:tcW w:w="5280" w:type="dxa"/>
            <w:vMerge w:val="restart"/>
            <w:vAlign w:val="center"/>
          </w:tcPr>
          <w:p>
            <w:pPr>
              <w:spacing w:line="260" w:lineRule="exact"/>
              <w:ind w:firstLine="480" w:firstLineChars="200"/>
              <w:jc w:val="left"/>
              <w:rPr>
                <w:rFonts w:ascii="Calibri" w:hAnsi="Calibri" w:eastAsia="宋体" w:cs="Times New Roman"/>
                <w:color w:val="000000"/>
                <w:kern w:val="0"/>
                <w:sz w:val="24"/>
                <w:szCs w:val="20"/>
              </w:rPr>
            </w:pPr>
            <w:r>
              <w:rPr>
                <w:rFonts w:hint="eastAsia" w:ascii="宋体" w:hAnsi="宋体" w:eastAsia="宋体" w:cs="仿宋"/>
                <w:kern w:val="0"/>
                <w:sz w:val="24"/>
                <w:szCs w:val="20"/>
              </w:rPr>
              <w:t>具有交通运输部公路工程监理工程师（JGJ）资格（道路与桥梁专业），并持有交通建设工程安全监理培训考试合格证书、且已在投标人处进行岗位登记，五年以上现场工程监理经历，担任过一项二级及以上公路总监理工程师或驻地监理工程师或工程副总监、副驻地监理工程师。</w:t>
            </w:r>
          </w:p>
        </w:tc>
        <w:tc>
          <w:tcPr>
            <w:tcW w:w="1585" w:type="dxa"/>
            <w:vAlign w:val="center"/>
          </w:tcPr>
          <w:p>
            <w:pPr>
              <w:spacing w:line="260" w:lineRule="exact"/>
              <w:jc w:val="center"/>
              <w:rPr>
                <w:rFonts w:ascii="Calibri" w:hAnsi="Calibri" w:eastAsia="宋体" w:cs="Times New Roman"/>
                <w:kern w:val="0"/>
                <w:sz w:val="24"/>
                <w:szCs w:val="20"/>
              </w:rPr>
            </w:pPr>
            <w:r>
              <w:rPr>
                <w:rFonts w:hint="eastAsia" w:ascii="Calibri" w:hAnsi="Calibri" w:eastAsia="宋体" w:cs="Times New Roman"/>
                <w:kern w:val="0"/>
                <w:sz w:val="24"/>
                <w:szCs w:val="20"/>
              </w:rPr>
              <w:t>无在岗项目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1231" w:type="dxa"/>
            <w:vAlign w:val="center"/>
          </w:tcPr>
          <w:p>
            <w:pPr>
              <w:spacing w:line="260" w:lineRule="exact"/>
              <w:jc w:val="center"/>
              <w:rPr>
                <w:rFonts w:ascii="Calibri" w:hAnsi="Calibri" w:eastAsia="宋体" w:cs="Times New Roman"/>
                <w:kern w:val="0"/>
                <w:sz w:val="24"/>
                <w:szCs w:val="20"/>
                <w:lang w:eastAsia="en-US"/>
              </w:rPr>
            </w:pPr>
            <w:r>
              <w:rPr>
                <w:rFonts w:hint="eastAsia" w:ascii="Calibri" w:hAnsi="Calibri" w:eastAsia="宋体" w:cs="Times New Roman"/>
                <w:kern w:val="0"/>
                <w:sz w:val="24"/>
                <w:szCs w:val="20"/>
                <w:lang w:eastAsia="en-US"/>
              </w:rPr>
              <w:t>备选</w:t>
            </w:r>
          </w:p>
          <w:p>
            <w:pPr>
              <w:spacing w:line="260" w:lineRule="exact"/>
              <w:jc w:val="center"/>
              <w:rPr>
                <w:rFonts w:ascii="Calibri" w:hAnsi="Calibri" w:eastAsia="宋体" w:cs="Times New Roman"/>
                <w:kern w:val="0"/>
                <w:sz w:val="24"/>
                <w:szCs w:val="20"/>
                <w:lang w:eastAsia="en-US"/>
              </w:rPr>
            </w:pPr>
            <w:r>
              <w:rPr>
                <w:rFonts w:hint="eastAsia" w:ascii="Calibri" w:hAnsi="Calibri" w:eastAsia="宋体" w:cs="Times New Roman"/>
                <w:kern w:val="0"/>
                <w:sz w:val="24"/>
                <w:szCs w:val="20"/>
                <w:lang w:eastAsia="en-US"/>
              </w:rPr>
              <w:t>总监理</w:t>
            </w:r>
          </w:p>
          <w:p>
            <w:pPr>
              <w:spacing w:line="260" w:lineRule="exact"/>
              <w:jc w:val="center"/>
              <w:rPr>
                <w:rFonts w:ascii="宋体" w:hAnsi="宋体" w:eastAsia="宋体" w:cs="宋体"/>
                <w:kern w:val="0"/>
                <w:sz w:val="28"/>
                <w:szCs w:val="28"/>
                <w:lang w:eastAsia="en-US"/>
              </w:rPr>
            </w:pPr>
            <w:r>
              <w:rPr>
                <w:rFonts w:hint="eastAsia" w:ascii="Calibri" w:hAnsi="Calibri" w:eastAsia="宋体" w:cs="Times New Roman"/>
                <w:kern w:val="0"/>
                <w:sz w:val="24"/>
                <w:szCs w:val="20"/>
                <w:lang w:eastAsia="en-US"/>
              </w:rPr>
              <w:t>工程师</w:t>
            </w:r>
          </w:p>
        </w:tc>
        <w:tc>
          <w:tcPr>
            <w:tcW w:w="1140" w:type="dxa"/>
            <w:vAlign w:val="center"/>
          </w:tcPr>
          <w:p>
            <w:pPr>
              <w:spacing w:line="260" w:lineRule="exact"/>
              <w:jc w:val="center"/>
              <w:rPr>
                <w:rFonts w:ascii="Calibri" w:hAnsi="Calibri" w:eastAsia="宋体" w:cs="Times New Roman"/>
                <w:color w:val="000000"/>
                <w:kern w:val="0"/>
                <w:sz w:val="24"/>
                <w:szCs w:val="20"/>
              </w:rPr>
            </w:pPr>
            <w:r>
              <w:rPr>
                <w:rFonts w:hint="eastAsia" w:ascii="Calibri" w:hAnsi="Calibri" w:eastAsia="宋体" w:cs="Times New Roman"/>
                <w:color w:val="000000"/>
                <w:kern w:val="0"/>
                <w:sz w:val="24"/>
                <w:szCs w:val="20"/>
              </w:rPr>
              <w:t>1人</w:t>
            </w:r>
          </w:p>
        </w:tc>
        <w:tc>
          <w:tcPr>
            <w:tcW w:w="5280" w:type="dxa"/>
            <w:vMerge w:val="continue"/>
            <w:vAlign w:val="center"/>
          </w:tcPr>
          <w:p>
            <w:pPr>
              <w:spacing w:line="260" w:lineRule="exact"/>
              <w:ind w:firstLine="480" w:firstLineChars="200"/>
              <w:jc w:val="left"/>
              <w:rPr>
                <w:rFonts w:ascii="Calibri" w:hAnsi="Calibri" w:eastAsia="宋体" w:cs="Times New Roman"/>
                <w:color w:val="000000"/>
                <w:kern w:val="0"/>
                <w:sz w:val="24"/>
                <w:szCs w:val="20"/>
              </w:rPr>
            </w:pPr>
          </w:p>
        </w:tc>
        <w:tc>
          <w:tcPr>
            <w:tcW w:w="1585" w:type="dxa"/>
            <w:vAlign w:val="center"/>
          </w:tcPr>
          <w:p>
            <w:pPr>
              <w:spacing w:line="260" w:lineRule="exact"/>
              <w:jc w:val="center"/>
              <w:rPr>
                <w:rFonts w:ascii="Calibri" w:hAnsi="Calibri" w:eastAsia="宋体" w:cs="Times New Roman"/>
                <w:kern w:val="0"/>
                <w:sz w:val="24"/>
                <w:szCs w:val="20"/>
                <w:lang w:eastAsia="en-US"/>
              </w:rPr>
            </w:pPr>
            <w:r>
              <w:rPr>
                <w:rFonts w:hint="eastAsia" w:ascii="Calibri" w:hAnsi="Calibri" w:eastAsia="宋体" w:cs="Times New Roman"/>
                <w:kern w:val="0"/>
                <w:sz w:val="24"/>
                <w:szCs w:val="20"/>
              </w:rPr>
              <w:t>无在岗项目</w:t>
            </w:r>
          </w:p>
        </w:tc>
      </w:tr>
    </w:tbl>
    <w:p>
      <w:pPr>
        <w:tabs>
          <w:tab w:val="left" w:pos="1433"/>
        </w:tabs>
        <w:spacing w:before="13"/>
        <w:ind w:right="140" w:firstLine="330" w:firstLineChars="150"/>
        <w:rPr>
          <w:rFonts w:ascii="Calibri" w:hAnsi="Calibri" w:eastAsia="宋体" w:cs="Times New Roman"/>
          <w:bCs/>
          <w:kern w:val="0"/>
          <w:sz w:val="22"/>
          <w:szCs w:val="21"/>
        </w:rPr>
      </w:pPr>
      <w:r>
        <w:rPr>
          <w:rFonts w:hint="eastAsia" w:ascii="Calibri" w:hAnsi="Calibri" w:eastAsia="宋体" w:cs="Times New Roman"/>
          <w:bCs/>
          <w:kern w:val="0"/>
          <w:sz w:val="22"/>
          <w:szCs w:val="21"/>
        </w:rPr>
        <w:t>注：1．本表所列人员为强制性人员，如上表人员缺少任何一项证件或资质不满足本表规定，均视为资格审查不通过。</w:t>
      </w:r>
    </w:p>
    <w:p>
      <w:pPr>
        <w:tabs>
          <w:tab w:val="left" w:pos="1433"/>
        </w:tabs>
        <w:spacing w:before="13"/>
        <w:ind w:left="382" w:right="140"/>
        <w:rPr>
          <w:rFonts w:ascii="Calibri" w:hAnsi="Calibri" w:eastAsia="宋体" w:cs="Times New Roman"/>
          <w:bCs/>
          <w:kern w:val="0"/>
          <w:sz w:val="22"/>
          <w:szCs w:val="21"/>
        </w:rPr>
      </w:pPr>
      <w:r>
        <w:rPr>
          <w:rFonts w:hint="eastAsia" w:ascii="Calibri" w:hAnsi="Calibri" w:eastAsia="宋体" w:cs="Times New Roman"/>
          <w:bCs/>
          <w:kern w:val="0"/>
          <w:sz w:val="22"/>
          <w:szCs w:val="21"/>
        </w:rPr>
        <w:t>2．需提供总监理工程师和备选总监理工程师的身份证、职称资格证书、监理工程师资格证书的彩色复印件。</w:t>
      </w:r>
    </w:p>
    <w:p>
      <w:pPr>
        <w:tabs>
          <w:tab w:val="left" w:pos="1433"/>
        </w:tabs>
        <w:spacing w:before="13"/>
        <w:ind w:left="382" w:right="140"/>
        <w:rPr>
          <w:rFonts w:ascii="Calibri" w:hAnsi="Calibri" w:eastAsia="宋体" w:cs="Times New Roman"/>
          <w:bCs/>
          <w:kern w:val="0"/>
          <w:sz w:val="22"/>
          <w:szCs w:val="21"/>
        </w:rPr>
      </w:pPr>
      <w:r>
        <w:rPr>
          <w:rFonts w:hint="eastAsia" w:ascii="Calibri" w:hAnsi="Calibri" w:eastAsia="宋体" w:cs="Times New Roman"/>
          <w:bCs/>
          <w:kern w:val="0"/>
          <w:sz w:val="22"/>
          <w:szCs w:val="21"/>
        </w:rPr>
        <w:t>3．应附投标人所属社保机构出具的拟委任的总监理工程师和备选总监理工程师的社保缴费证明(并加盖缴费证明专用章)或其他能够证明拟委任的总监理工程师和备选总监理工程师参加社保的有效证明材料(并加盖社保机构单位章)。</w:t>
      </w:r>
    </w:p>
    <w:p>
      <w:pPr>
        <w:tabs>
          <w:tab w:val="left" w:pos="1433"/>
        </w:tabs>
        <w:spacing w:before="13"/>
        <w:ind w:left="382" w:right="140"/>
        <w:rPr>
          <w:rFonts w:ascii="Calibri" w:hAnsi="Calibri" w:eastAsia="宋体" w:cs="Times New Roman"/>
          <w:bCs/>
          <w:kern w:val="0"/>
          <w:sz w:val="22"/>
          <w:szCs w:val="21"/>
        </w:rPr>
      </w:pPr>
      <w:r>
        <w:rPr>
          <w:rFonts w:hint="eastAsia" w:ascii="Calibri" w:hAnsi="Calibri" w:eastAsia="宋体" w:cs="Times New Roman"/>
          <w:bCs/>
          <w:kern w:val="0"/>
          <w:sz w:val="22"/>
          <w:szCs w:val="21"/>
        </w:rPr>
        <w:t>4．以上人员必须在兵团公路建设市场信用信息系统备案。</w:t>
      </w:r>
    </w:p>
    <w:p>
      <w:pPr>
        <w:tabs>
          <w:tab w:val="left" w:pos="1433"/>
        </w:tabs>
        <w:spacing w:before="13"/>
        <w:ind w:left="382" w:right="140"/>
        <w:rPr>
          <w:rFonts w:ascii="Calibri" w:hAnsi="Calibri" w:eastAsia="宋体" w:cs="Times New Roman"/>
          <w:bCs/>
          <w:kern w:val="0"/>
          <w:sz w:val="22"/>
          <w:szCs w:val="21"/>
        </w:rPr>
      </w:pPr>
      <w:r>
        <w:rPr>
          <w:rFonts w:hint="eastAsia" w:ascii="Calibri" w:hAnsi="Calibri" w:eastAsia="宋体" w:cs="Times New Roman"/>
          <w:bCs/>
          <w:kern w:val="0"/>
          <w:sz w:val="22"/>
          <w:szCs w:val="21"/>
        </w:rPr>
        <w:t>5. 业绩资料需提供中标通知书或施工合同或业主出具的业绩证明材料（加盖业主公章）等的复印件，并注明有效查询电话。</w:t>
      </w:r>
    </w:p>
    <w:p>
      <w:pPr>
        <w:tabs>
          <w:tab w:val="left" w:pos="1433"/>
        </w:tabs>
        <w:spacing w:before="13"/>
        <w:ind w:left="382" w:right="140"/>
        <w:rPr>
          <w:rFonts w:ascii="Calibri" w:hAnsi="Calibri" w:eastAsia="宋体" w:cs="Times New Roman"/>
          <w:bCs/>
          <w:kern w:val="0"/>
          <w:sz w:val="22"/>
          <w:szCs w:val="21"/>
        </w:rPr>
      </w:pPr>
      <w:r>
        <w:rPr>
          <w:rFonts w:hint="eastAsia" w:ascii="Calibri" w:hAnsi="Calibri" w:eastAsia="宋体" w:cs="Times New Roman"/>
          <w:bCs/>
          <w:kern w:val="0"/>
          <w:sz w:val="22"/>
          <w:szCs w:val="21"/>
        </w:rPr>
        <w:t>6. 上述证照及相关材料复印件需清晰可辨,便于评标委员会在评审过程中查阅评审,否则造成的不良后果由投标人自行负责。</w:t>
      </w:r>
    </w:p>
    <w:p>
      <w:pPr>
        <w:tabs>
          <w:tab w:val="left" w:pos="1433"/>
        </w:tabs>
        <w:spacing w:before="13"/>
        <w:ind w:left="382" w:right="140"/>
        <w:rPr>
          <w:rFonts w:ascii="宋体" w:hAnsi="宋体" w:eastAsia="宋体" w:cs="宋体"/>
          <w:b/>
          <w:color w:val="000000"/>
          <w:spacing w:val="-13"/>
          <w:kern w:val="0"/>
          <w:sz w:val="27"/>
          <w:szCs w:val="27"/>
        </w:rPr>
      </w:pPr>
    </w:p>
    <w:p>
      <w:pPr>
        <w:spacing w:before="5"/>
        <w:jc w:val="left"/>
        <w:rPr>
          <w:rFonts w:ascii="宋体" w:hAnsi="宋体" w:eastAsia="宋体" w:cs="宋体"/>
          <w:color w:val="000000"/>
          <w:kern w:val="0"/>
          <w:sz w:val="20"/>
          <w:szCs w:val="20"/>
        </w:rPr>
      </w:pPr>
    </w:p>
    <w:p>
      <w:pPr>
        <w:jc w:val="left"/>
        <w:rPr>
          <w:rFonts w:ascii="宋体" w:hAnsi="宋体" w:eastAsia="宋体" w:cs="宋体"/>
          <w:color w:val="000000"/>
          <w:kern w:val="0"/>
          <w:sz w:val="20"/>
          <w:szCs w:val="20"/>
        </w:rPr>
      </w:pPr>
    </w:p>
    <w:p>
      <w:pPr>
        <w:jc w:val="left"/>
        <w:rPr>
          <w:rFonts w:ascii="宋体" w:hAnsi="宋体" w:eastAsia="宋体" w:cs="宋体"/>
          <w:color w:val="000000"/>
          <w:kern w:val="0"/>
          <w:sz w:val="20"/>
          <w:szCs w:val="20"/>
        </w:rPr>
      </w:pPr>
    </w:p>
    <w:p>
      <w:pPr>
        <w:jc w:val="left"/>
        <w:rPr>
          <w:rFonts w:ascii="宋体" w:hAnsi="宋体" w:eastAsia="宋体" w:cs="宋体"/>
          <w:color w:val="000000"/>
          <w:kern w:val="0"/>
          <w:sz w:val="20"/>
          <w:szCs w:val="20"/>
        </w:rPr>
      </w:pPr>
    </w:p>
    <w:p>
      <w:pPr>
        <w:jc w:val="left"/>
        <w:rPr>
          <w:rFonts w:ascii="宋体" w:hAnsi="宋体" w:eastAsia="宋体" w:cs="宋体"/>
          <w:color w:val="000000"/>
          <w:kern w:val="0"/>
          <w:sz w:val="20"/>
          <w:szCs w:val="20"/>
        </w:rPr>
      </w:pPr>
    </w:p>
    <w:p>
      <w:pPr>
        <w:jc w:val="left"/>
        <w:rPr>
          <w:rFonts w:ascii="宋体" w:hAnsi="宋体" w:eastAsia="宋体" w:cs="宋体"/>
          <w:color w:val="000000"/>
          <w:kern w:val="0"/>
          <w:sz w:val="20"/>
          <w:szCs w:val="20"/>
        </w:rPr>
      </w:pPr>
    </w:p>
    <w:p>
      <w:pPr>
        <w:spacing w:before="6"/>
        <w:jc w:val="center"/>
        <w:rPr>
          <w:rFonts w:ascii="宋体" w:hAnsi="宋体" w:eastAsia="宋体" w:cs="宋体"/>
          <w:b/>
          <w:color w:val="000000"/>
          <w:spacing w:val="-13"/>
          <w:kern w:val="0"/>
          <w:sz w:val="27"/>
          <w:szCs w:val="27"/>
        </w:rPr>
      </w:pPr>
      <w:r>
        <w:rPr>
          <w:rFonts w:ascii="宋体" w:hAnsi="宋体" w:eastAsia="宋体" w:cs="宋体"/>
          <w:b/>
          <w:color w:val="000000"/>
          <w:spacing w:val="-21"/>
          <w:kern w:val="0"/>
          <w:sz w:val="28"/>
          <w:szCs w:val="28"/>
        </w:rPr>
        <w:t>附录</w:t>
      </w:r>
      <w:r>
        <w:rPr>
          <w:rFonts w:ascii="宋体" w:hAnsi="宋体" w:eastAsia="宋体" w:cs="宋体"/>
          <w:b/>
          <w:color w:val="000000"/>
          <w:spacing w:val="-9"/>
          <w:kern w:val="0"/>
          <w:sz w:val="28"/>
          <w:szCs w:val="28"/>
        </w:rPr>
        <w:t xml:space="preserve"> </w:t>
      </w:r>
      <w:r>
        <w:rPr>
          <w:rFonts w:ascii="Times New Roman" w:hAnsi="Times New Roman" w:eastAsia="Times New Roman" w:cs="Times New Roman"/>
          <w:b/>
          <w:color w:val="000000"/>
          <w:kern w:val="0"/>
          <w:sz w:val="28"/>
          <w:szCs w:val="28"/>
        </w:rPr>
        <w:t>5</w:t>
      </w:r>
      <w:r>
        <w:rPr>
          <w:rFonts w:ascii="Times New Roman" w:hAnsi="Times New Roman" w:eastAsia="Times New Roman" w:cs="Times New Roman"/>
          <w:b/>
          <w:color w:val="000000"/>
          <w:kern w:val="0"/>
          <w:sz w:val="28"/>
          <w:szCs w:val="28"/>
        </w:rPr>
        <w:tab/>
      </w:r>
      <w:r>
        <w:rPr>
          <w:rFonts w:ascii="宋体" w:hAnsi="宋体" w:eastAsia="宋体" w:cs="宋体"/>
          <w:b/>
          <w:color w:val="000000"/>
          <w:spacing w:val="-21"/>
          <w:kern w:val="0"/>
          <w:sz w:val="27"/>
          <w:szCs w:val="27"/>
        </w:rPr>
        <w:t xml:space="preserve">资格审查条件  </w:t>
      </w:r>
      <w:r>
        <w:rPr>
          <w:rFonts w:ascii="宋体" w:hAnsi="宋体" w:eastAsia="宋体" w:cs="宋体"/>
          <w:b/>
          <w:color w:val="000000"/>
          <w:spacing w:val="-13"/>
          <w:kern w:val="0"/>
          <w:sz w:val="27"/>
          <w:szCs w:val="27"/>
        </w:rPr>
        <w:t>（其他主要监理人员最低要求</w:t>
      </w:r>
      <w:r>
        <w:rPr>
          <w:rFonts w:hint="eastAsia" w:ascii="宋体" w:hAnsi="宋体" w:eastAsia="宋体" w:cs="宋体"/>
          <w:b/>
          <w:color w:val="000000"/>
          <w:spacing w:val="-13"/>
          <w:kern w:val="0"/>
          <w:sz w:val="27"/>
          <w:szCs w:val="27"/>
        </w:rPr>
        <w:t>）</w:t>
      </w:r>
    </w:p>
    <w:tbl>
      <w:tblPr>
        <w:tblStyle w:val="7"/>
        <w:tblW w:w="9160" w:type="dxa"/>
        <w:tblInd w:w="-100" w:type="dxa"/>
        <w:tblLayout w:type="fixed"/>
        <w:tblCellMar>
          <w:top w:w="0" w:type="dxa"/>
          <w:left w:w="0" w:type="dxa"/>
          <w:bottom w:w="0" w:type="dxa"/>
          <w:right w:w="0" w:type="dxa"/>
        </w:tblCellMar>
      </w:tblPr>
      <w:tblGrid>
        <w:gridCol w:w="1652"/>
        <w:gridCol w:w="1006"/>
        <w:gridCol w:w="6502"/>
      </w:tblGrid>
      <w:tr>
        <w:tblPrEx>
          <w:tblLayout w:type="fixed"/>
          <w:tblCellMar>
            <w:top w:w="0" w:type="dxa"/>
            <w:left w:w="0" w:type="dxa"/>
            <w:bottom w:w="0" w:type="dxa"/>
            <w:right w:w="0" w:type="dxa"/>
          </w:tblCellMar>
        </w:tblPrEx>
        <w:trPr>
          <w:trHeight w:val="531" w:hRule="atLeast"/>
        </w:trPr>
        <w:tc>
          <w:tcPr>
            <w:tcW w:w="1652" w:type="dxa"/>
            <w:tcBorders>
              <w:top w:val="single" w:color="auto" w:sz="8" w:space="0"/>
              <w:left w:val="single" w:color="auto" w:sz="8" w:space="0"/>
              <w:bottom w:val="single" w:color="auto" w:sz="4" w:space="0"/>
              <w:right w:val="single" w:color="auto" w:sz="8" w:space="0"/>
            </w:tcBorders>
            <w:vAlign w:val="center"/>
          </w:tcPr>
          <w:p>
            <w:pPr>
              <w:spacing w:line="274" w:lineRule="exact"/>
              <w:jc w:val="center"/>
              <w:rPr>
                <w:rFonts w:ascii="宋体" w:hAnsi="宋体" w:eastAsia="宋体" w:cs="Times New Roman"/>
                <w:kern w:val="0"/>
                <w:szCs w:val="21"/>
                <w:lang w:eastAsia="en-US"/>
              </w:rPr>
            </w:pPr>
            <w:r>
              <w:rPr>
                <w:rFonts w:ascii="宋体" w:hAnsi="宋体" w:eastAsia="宋体" w:cs="Times New Roman"/>
                <w:kern w:val="0"/>
                <w:szCs w:val="21"/>
                <w:lang w:eastAsia="en-US"/>
              </w:rPr>
              <w:t>人  员</w:t>
            </w:r>
          </w:p>
        </w:tc>
        <w:tc>
          <w:tcPr>
            <w:tcW w:w="1006" w:type="dxa"/>
            <w:tcBorders>
              <w:top w:val="single" w:color="auto" w:sz="8" w:space="0"/>
              <w:bottom w:val="single" w:color="auto" w:sz="4" w:space="0"/>
              <w:right w:val="single" w:color="auto" w:sz="8" w:space="0"/>
            </w:tcBorders>
            <w:vAlign w:val="center"/>
          </w:tcPr>
          <w:p>
            <w:pPr>
              <w:spacing w:line="274" w:lineRule="exact"/>
              <w:jc w:val="center"/>
              <w:rPr>
                <w:rFonts w:ascii="宋体" w:hAnsi="宋体" w:eastAsia="宋体" w:cs="Times New Roman"/>
                <w:kern w:val="0"/>
                <w:szCs w:val="21"/>
                <w:lang w:eastAsia="en-US"/>
              </w:rPr>
            </w:pPr>
            <w:r>
              <w:rPr>
                <w:rFonts w:ascii="宋体" w:hAnsi="宋体" w:eastAsia="宋体" w:cs="Times New Roman"/>
                <w:kern w:val="0"/>
                <w:szCs w:val="21"/>
                <w:lang w:eastAsia="en-US"/>
              </w:rPr>
              <w:t>数  量</w:t>
            </w:r>
          </w:p>
        </w:tc>
        <w:tc>
          <w:tcPr>
            <w:tcW w:w="6502" w:type="dxa"/>
            <w:tcBorders>
              <w:top w:val="single" w:color="auto" w:sz="8" w:space="0"/>
              <w:bottom w:val="single" w:color="auto" w:sz="8" w:space="0"/>
              <w:right w:val="single" w:color="auto" w:sz="8" w:space="0"/>
            </w:tcBorders>
            <w:vAlign w:val="center"/>
          </w:tcPr>
          <w:p>
            <w:pPr>
              <w:spacing w:line="274" w:lineRule="exact"/>
              <w:jc w:val="center"/>
              <w:rPr>
                <w:rFonts w:ascii="宋体" w:hAnsi="宋体" w:eastAsia="宋体" w:cs="Times New Roman"/>
                <w:kern w:val="0"/>
                <w:szCs w:val="21"/>
                <w:lang w:eastAsia="en-US"/>
              </w:rPr>
            </w:pPr>
            <w:r>
              <w:rPr>
                <w:rFonts w:ascii="宋体" w:hAnsi="宋体" w:eastAsia="宋体" w:cs="Times New Roman"/>
                <w:kern w:val="0"/>
                <w:szCs w:val="21"/>
                <w:lang w:eastAsia="en-US"/>
              </w:rPr>
              <w:t>资 格 要 求</w:t>
            </w:r>
          </w:p>
        </w:tc>
      </w:tr>
      <w:tr>
        <w:tblPrEx>
          <w:tblLayout w:type="fixed"/>
          <w:tblCellMar>
            <w:top w:w="0" w:type="dxa"/>
            <w:left w:w="0" w:type="dxa"/>
            <w:bottom w:w="0" w:type="dxa"/>
            <w:right w:w="0" w:type="dxa"/>
          </w:tblCellMar>
        </w:tblPrEx>
        <w:trPr>
          <w:trHeight w:val="616" w:hRule="atLeast"/>
        </w:trPr>
        <w:tc>
          <w:tcPr>
            <w:tcW w:w="1652"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hint="eastAsia" w:ascii="宋体" w:hAnsi="宋体" w:eastAsia="宋体" w:cs="宋体"/>
                <w:kern w:val="0"/>
                <w:szCs w:val="21"/>
                <w:lang w:eastAsia="en-US"/>
              </w:rPr>
              <w:t>路基路面监理工程师</w:t>
            </w:r>
          </w:p>
        </w:tc>
        <w:tc>
          <w:tcPr>
            <w:tcW w:w="1006" w:type="dxa"/>
            <w:tcBorders>
              <w:top w:val="single" w:color="auto" w:sz="4"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ascii="宋体" w:hAnsi="宋体" w:eastAsia="宋体" w:cs="宋体"/>
                <w:kern w:val="0"/>
                <w:szCs w:val="21"/>
                <w:lang w:eastAsia="en-US"/>
              </w:rPr>
              <w:t>4</w:t>
            </w:r>
          </w:p>
        </w:tc>
        <w:tc>
          <w:tcPr>
            <w:tcW w:w="6502" w:type="dxa"/>
            <w:tcBorders>
              <w:bottom w:val="single" w:color="auto" w:sz="4" w:space="0"/>
              <w:right w:val="single" w:color="auto" w:sz="8" w:space="0"/>
            </w:tcBorders>
            <w:vAlign w:val="center"/>
          </w:tcPr>
          <w:p>
            <w:pPr>
              <w:spacing w:line="360" w:lineRule="auto"/>
              <w:ind w:firstLine="420" w:firstLineChars="200"/>
              <w:jc w:val="left"/>
              <w:rPr>
                <w:rFonts w:ascii="Times New Roman" w:hAnsi="Times New Roman" w:eastAsia="Times New Roman" w:cs="Times New Roman"/>
                <w:kern w:val="0"/>
                <w:szCs w:val="21"/>
              </w:rPr>
            </w:pPr>
            <w:r>
              <w:rPr>
                <w:rFonts w:hint="eastAsia" w:ascii="宋体" w:hAnsi="宋体" w:eastAsia="宋体" w:cs="宋体"/>
                <w:kern w:val="0"/>
                <w:szCs w:val="21"/>
              </w:rPr>
              <w:t>具有交通运输部颁发的专业监理工程师证（公路工程监理培训证及以上资格证书），且已在投标人处进行岗位登记，具有相关专业中级职称，同类工程三年以上监理经历。</w:t>
            </w:r>
          </w:p>
        </w:tc>
      </w:tr>
      <w:tr>
        <w:tblPrEx>
          <w:tblLayout w:type="fixed"/>
          <w:tblCellMar>
            <w:top w:w="0" w:type="dxa"/>
            <w:left w:w="0" w:type="dxa"/>
            <w:bottom w:w="0" w:type="dxa"/>
            <w:right w:w="0" w:type="dxa"/>
          </w:tblCellMar>
        </w:tblPrEx>
        <w:trPr>
          <w:trHeight w:val="616" w:hRule="atLeast"/>
        </w:trPr>
        <w:tc>
          <w:tcPr>
            <w:tcW w:w="1652"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宋体" w:hAnsi="宋体" w:eastAsia="宋体" w:cs="宋体"/>
                <w:kern w:val="0"/>
                <w:szCs w:val="21"/>
                <w:lang w:eastAsia="en-US"/>
              </w:rPr>
            </w:pPr>
            <w:r>
              <w:rPr>
                <w:rFonts w:hint="eastAsia" w:ascii="宋体" w:hAnsi="宋体" w:eastAsia="宋体" w:cs="宋体"/>
                <w:kern w:val="0"/>
                <w:szCs w:val="21"/>
                <w:lang w:eastAsia="en-US"/>
              </w:rPr>
              <w:t>结构监理</w:t>
            </w:r>
          </w:p>
          <w:p>
            <w:pPr>
              <w:spacing w:line="360" w:lineRule="auto"/>
              <w:jc w:val="center"/>
              <w:rPr>
                <w:rFonts w:ascii="Times New Roman" w:hAnsi="Times New Roman" w:eastAsia="Times New Roman" w:cs="Times New Roman"/>
                <w:kern w:val="0"/>
                <w:szCs w:val="21"/>
                <w:lang w:eastAsia="en-US"/>
              </w:rPr>
            </w:pPr>
            <w:r>
              <w:rPr>
                <w:rFonts w:hint="eastAsia" w:ascii="宋体" w:hAnsi="宋体" w:eastAsia="宋体" w:cs="宋体"/>
                <w:kern w:val="0"/>
                <w:szCs w:val="21"/>
                <w:lang w:eastAsia="en-US"/>
              </w:rPr>
              <w:t>工程师</w:t>
            </w:r>
          </w:p>
        </w:tc>
        <w:tc>
          <w:tcPr>
            <w:tcW w:w="1006" w:type="dxa"/>
            <w:tcBorders>
              <w:top w:val="single" w:color="auto" w:sz="4"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ascii="宋体" w:hAnsi="宋体" w:eastAsia="宋体" w:cs="宋体"/>
                <w:kern w:val="0"/>
                <w:szCs w:val="21"/>
                <w:lang w:eastAsia="en-US"/>
              </w:rPr>
              <w:t>1</w:t>
            </w:r>
          </w:p>
        </w:tc>
        <w:tc>
          <w:tcPr>
            <w:tcW w:w="6502" w:type="dxa"/>
            <w:tcBorders>
              <w:top w:val="single" w:color="auto" w:sz="4" w:space="0"/>
              <w:bottom w:val="single" w:color="auto" w:sz="4" w:space="0"/>
              <w:right w:val="single" w:color="auto" w:sz="8" w:space="0"/>
            </w:tcBorders>
            <w:vAlign w:val="center"/>
          </w:tcPr>
          <w:p>
            <w:pPr>
              <w:spacing w:line="360" w:lineRule="auto"/>
              <w:ind w:firstLine="420" w:firstLineChars="200"/>
              <w:jc w:val="left"/>
              <w:rPr>
                <w:rFonts w:ascii="Times New Roman" w:hAnsi="Times New Roman" w:eastAsia="Times New Roman" w:cs="Times New Roman"/>
                <w:kern w:val="0"/>
                <w:szCs w:val="21"/>
              </w:rPr>
            </w:pPr>
            <w:r>
              <w:rPr>
                <w:rFonts w:hint="eastAsia" w:ascii="宋体" w:hAnsi="宋体" w:eastAsia="宋体" w:cs="宋体"/>
                <w:kern w:val="0"/>
                <w:szCs w:val="21"/>
              </w:rPr>
              <w:t>具有交通运输部公路工程道路与桥梁专业监理工程师资格，且已在投标人处进行岗位登记，具有相关专业中级职称，同类工程三年以上监理经历。</w:t>
            </w:r>
          </w:p>
        </w:tc>
      </w:tr>
      <w:tr>
        <w:tblPrEx>
          <w:tblLayout w:type="fixed"/>
          <w:tblCellMar>
            <w:top w:w="0" w:type="dxa"/>
            <w:left w:w="0" w:type="dxa"/>
            <w:bottom w:w="0" w:type="dxa"/>
            <w:right w:w="0" w:type="dxa"/>
          </w:tblCellMar>
        </w:tblPrEx>
        <w:trPr>
          <w:trHeight w:val="942" w:hRule="atLeast"/>
        </w:trPr>
        <w:tc>
          <w:tcPr>
            <w:tcW w:w="1652"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hint="eastAsia" w:ascii="宋体" w:hAnsi="宋体" w:eastAsia="宋体" w:cs="宋体"/>
                <w:kern w:val="0"/>
                <w:szCs w:val="21"/>
                <w:lang w:eastAsia="en-US"/>
              </w:rPr>
              <w:t>试验检测监理工程师</w:t>
            </w:r>
          </w:p>
        </w:tc>
        <w:tc>
          <w:tcPr>
            <w:tcW w:w="1006" w:type="dxa"/>
            <w:tcBorders>
              <w:top w:val="single" w:color="auto" w:sz="4"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ascii="宋体" w:hAnsi="宋体" w:eastAsia="宋体" w:cs="宋体"/>
                <w:kern w:val="0"/>
                <w:szCs w:val="21"/>
                <w:lang w:eastAsia="en-US"/>
              </w:rPr>
              <w:t>1</w:t>
            </w:r>
          </w:p>
        </w:tc>
        <w:tc>
          <w:tcPr>
            <w:tcW w:w="6502" w:type="dxa"/>
            <w:tcBorders>
              <w:top w:val="single" w:color="auto" w:sz="4" w:space="0"/>
              <w:bottom w:val="single" w:color="auto" w:sz="4" w:space="0"/>
              <w:right w:val="single" w:color="auto" w:sz="8" w:space="0"/>
            </w:tcBorders>
            <w:vAlign w:val="center"/>
          </w:tcPr>
          <w:p>
            <w:pPr>
              <w:spacing w:line="360" w:lineRule="auto"/>
              <w:ind w:firstLine="420" w:firstLineChars="200"/>
              <w:jc w:val="left"/>
              <w:rPr>
                <w:rFonts w:ascii="Times New Roman" w:hAnsi="Times New Roman" w:eastAsia="Times New Roman" w:cs="Times New Roman"/>
                <w:kern w:val="0"/>
                <w:szCs w:val="21"/>
              </w:rPr>
            </w:pPr>
            <w:r>
              <w:rPr>
                <w:rFonts w:hint="eastAsia" w:ascii="宋体" w:hAnsi="宋体" w:eastAsia="宋体" w:cs="宋体"/>
                <w:kern w:val="0"/>
                <w:szCs w:val="21"/>
              </w:rPr>
              <w:t>持有交通运输部颁发的试验检测工程师证书，且已在投标人处进行岗位登记，具有相关专业中级职称，同类工程三年以上监理经历。</w:t>
            </w:r>
          </w:p>
        </w:tc>
      </w:tr>
      <w:tr>
        <w:tblPrEx>
          <w:tblLayout w:type="fixed"/>
          <w:tblCellMar>
            <w:top w:w="0" w:type="dxa"/>
            <w:left w:w="0" w:type="dxa"/>
            <w:bottom w:w="0" w:type="dxa"/>
            <w:right w:w="0" w:type="dxa"/>
          </w:tblCellMar>
        </w:tblPrEx>
        <w:trPr>
          <w:trHeight w:val="616" w:hRule="atLeast"/>
        </w:trPr>
        <w:tc>
          <w:tcPr>
            <w:tcW w:w="1652" w:type="dxa"/>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hint="eastAsia" w:ascii="宋体" w:hAnsi="宋体" w:eastAsia="宋体" w:cs="Times New Roman"/>
                <w:kern w:val="0"/>
                <w:szCs w:val="21"/>
                <w:lang w:eastAsia="en-US"/>
              </w:rPr>
              <w:t>合同计量监理工程师</w:t>
            </w:r>
          </w:p>
        </w:tc>
        <w:tc>
          <w:tcPr>
            <w:tcW w:w="1006" w:type="dxa"/>
            <w:tcBorders>
              <w:top w:val="single" w:color="auto" w:sz="4"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hint="eastAsia" w:ascii="宋体" w:hAnsi="宋体" w:eastAsia="宋体" w:cs="Times New Roman"/>
                <w:kern w:val="0"/>
                <w:szCs w:val="21"/>
                <w:lang w:eastAsia="en-US"/>
              </w:rPr>
              <w:t>1</w:t>
            </w:r>
          </w:p>
        </w:tc>
        <w:tc>
          <w:tcPr>
            <w:tcW w:w="6502" w:type="dxa"/>
            <w:tcBorders>
              <w:top w:val="single" w:color="auto" w:sz="4" w:space="0"/>
              <w:bottom w:val="single" w:color="auto" w:sz="4" w:space="0"/>
              <w:right w:val="single" w:color="auto" w:sz="8" w:space="0"/>
            </w:tcBorders>
            <w:vAlign w:val="center"/>
          </w:tcPr>
          <w:p>
            <w:pPr>
              <w:spacing w:line="360" w:lineRule="auto"/>
              <w:ind w:firstLine="420" w:firstLineChars="200"/>
              <w:jc w:val="left"/>
              <w:rPr>
                <w:rFonts w:ascii="Times New Roman" w:hAnsi="Times New Roman" w:eastAsia="Times New Roman" w:cs="Times New Roman"/>
                <w:kern w:val="0"/>
                <w:szCs w:val="21"/>
              </w:rPr>
            </w:pPr>
            <w:r>
              <w:rPr>
                <w:rFonts w:hint="eastAsia" w:ascii="宋体" w:hAnsi="宋体" w:eastAsia="宋体" w:cs="Times New Roman"/>
                <w:kern w:val="0"/>
                <w:szCs w:val="21"/>
              </w:rPr>
              <w:t>具有交通运输部颁发的专业监理工程师证（公路工程监理培训证及以上资格证书），且已在投标人处进行岗位登记，具有相关专业中级职称，同类工程三年以上监理经历。</w:t>
            </w:r>
          </w:p>
        </w:tc>
      </w:tr>
      <w:tr>
        <w:tblPrEx>
          <w:tblLayout w:type="fixed"/>
          <w:tblCellMar>
            <w:top w:w="0" w:type="dxa"/>
            <w:left w:w="0" w:type="dxa"/>
            <w:bottom w:w="0" w:type="dxa"/>
            <w:right w:w="0" w:type="dxa"/>
          </w:tblCellMar>
        </w:tblPrEx>
        <w:trPr>
          <w:trHeight w:val="616" w:hRule="atLeast"/>
        </w:trPr>
        <w:tc>
          <w:tcPr>
            <w:tcW w:w="1652" w:type="dxa"/>
            <w:tcBorders>
              <w:top w:val="single" w:color="auto" w:sz="4" w:space="0"/>
              <w:left w:val="single" w:color="auto" w:sz="8" w:space="0"/>
              <w:bottom w:val="single" w:color="auto" w:sz="4" w:space="0"/>
              <w:right w:val="single" w:color="auto" w:sz="8" w:space="0"/>
            </w:tcBorders>
            <w:vAlign w:val="center"/>
          </w:tcPr>
          <w:p>
            <w:pPr>
              <w:spacing w:line="360" w:lineRule="auto"/>
              <w:ind w:firstLine="420" w:firstLineChars="200"/>
              <w:jc w:val="center"/>
              <w:rPr>
                <w:rFonts w:ascii="Times New Roman" w:hAnsi="Times New Roman" w:eastAsia="Times New Roman" w:cs="Times New Roman"/>
                <w:kern w:val="0"/>
                <w:szCs w:val="21"/>
                <w:lang w:eastAsia="en-US"/>
              </w:rPr>
            </w:pPr>
            <w:r>
              <w:rPr>
                <w:rFonts w:hint="eastAsia" w:ascii="宋体" w:hAnsi="宋体" w:eastAsia="宋体" w:cs="宋体"/>
                <w:kern w:val="0"/>
                <w:szCs w:val="21"/>
                <w:lang w:eastAsia="en-US"/>
              </w:rPr>
              <w:t>监理员</w:t>
            </w:r>
          </w:p>
        </w:tc>
        <w:tc>
          <w:tcPr>
            <w:tcW w:w="1006" w:type="dxa"/>
            <w:tcBorders>
              <w:top w:val="single" w:color="auto" w:sz="4"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ascii="宋体" w:hAnsi="宋体" w:eastAsia="宋体" w:cs="宋体"/>
                <w:kern w:val="0"/>
                <w:szCs w:val="21"/>
                <w:lang w:eastAsia="en-US"/>
              </w:rPr>
              <w:t>8</w:t>
            </w:r>
          </w:p>
        </w:tc>
        <w:tc>
          <w:tcPr>
            <w:tcW w:w="6502" w:type="dxa"/>
            <w:tcBorders>
              <w:top w:val="single" w:color="auto" w:sz="4" w:space="0"/>
              <w:bottom w:val="single" w:color="auto" w:sz="4" w:space="0"/>
              <w:right w:val="single" w:color="auto" w:sz="8" w:space="0"/>
            </w:tcBorders>
            <w:vAlign w:val="center"/>
          </w:tcPr>
          <w:p>
            <w:pPr>
              <w:spacing w:line="360" w:lineRule="auto"/>
              <w:ind w:firstLine="420" w:firstLineChars="200"/>
              <w:jc w:val="left"/>
              <w:rPr>
                <w:rFonts w:ascii="Times New Roman" w:hAnsi="Times New Roman" w:eastAsia="Times New Roman" w:cs="Times New Roman"/>
                <w:kern w:val="0"/>
                <w:szCs w:val="21"/>
              </w:rPr>
            </w:pPr>
            <w:r>
              <w:rPr>
                <w:rFonts w:hint="eastAsia" w:ascii="宋体" w:hAnsi="宋体" w:eastAsia="宋体" w:cs="宋体"/>
                <w:kern w:val="0"/>
                <w:szCs w:val="21"/>
              </w:rPr>
              <w:t>具有公路工程专业监理培训合格证书或监理员证，且已在投标人处进行岗位登记，具有相关专业初级职称，从事同类工程两年以上监理经历。</w:t>
            </w:r>
          </w:p>
        </w:tc>
      </w:tr>
      <w:tr>
        <w:tblPrEx>
          <w:tblLayout w:type="fixed"/>
          <w:tblCellMar>
            <w:top w:w="0" w:type="dxa"/>
            <w:left w:w="0" w:type="dxa"/>
            <w:bottom w:w="0" w:type="dxa"/>
            <w:right w:w="0" w:type="dxa"/>
          </w:tblCellMar>
        </w:tblPrEx>
        <w:trPr>
          <w:trHeight w:val="1047" w:hRule="atLeast"/>
        </w:trPr>
        <w:tc>
          <w:tcPr>
            <w:tcW w:w="1652" w:type="dxa"/>
            <w:tcBorders>
              <w:top w:val="single" w:color="auto" w:sz="4" w:space="0"/>
              <w:left w:val="single" w:color="auto" w:sz="8" w:space="0"/>
              <w:bottom w:val="single" w:color="auto" w:sz="4" w:space="0"/>
              <w:right w:val="single" w:color="auto" w:sz="8" w:space="0"/>
            </w:tcBorders>
            <w:vAlign w:val="center"/>
          </w:tcPr>
          <w:p>
            <w:pPr>
              <w:spacing w:line="360" w:lineRule="auto"/>
              <w:ind w:firstLine="420" w:firstLineChars="200"/>
              <w:jc w:val="center"/>
              <w:rPr>
                <w:rFonts w:ascii="Times New Roman" w:hAnsi="Times New Roman" w:eastAsia="Times New Roman" w:cs="Times New Roman"/>
                <w:kern w:val="0"/>
                <w:szCs w:val="21"/>
                <w:lang w:eastAsia="en-US"/>
              </w:rPr>
            </w:pPr>
            <w:r>
              <w:rPr>
                <w:rFonts w:hint="eastAsia" w:ascii="宋体" w:hAnsi="宋体" w:eastAsia="宋体" w:cs="宋体"/>
                <w:kern w:val="0"/>
                <w:szCs w:val="21"/>
                <w:lang w:eastAsia="en-US"/>
              </w:rPr>
              <w:t>试验员</w:t>
            </w:r>
          </w:p>
        </w:tc>
        <w:tc>
          <w:tcPr>
            <w:tcW w:w="1006" w:type="dxa"/>
            <w:tcBorders>
              <w:top w:val="single" w:color="auto" w:sz="4" w:space="0"/>
              <w:bottom w:val="single" w:color="auto" w:sz="4" w:space="0"/>
              <w:right w:val="single" w:color="auto" w:sz="8" w:space="0"/>
            </w:tcBorders>
            <w:vAlign w:val="center"/>
          </w:tcPr>
          <w:p>
            <w:pPr>
              <w:spacing w:line="360" w:lineRule="auto"/>
              <w:jc w:val="center"/>
              <w:rPr>
                <w:rFonts w:ascii="Times New Roman" w:hAnsi="Times New Roman" w:eastAsia="Times New Roman" w:cs="Times New Roman"/>
                <w:kern w:val="0"/>
                <w:szCs w:val="21"/>
                <w:lang w:eastAsia="en-US"/>
              </w:rPr>
            </w:pPr>
            <w:r>
              <w:rPr>
                <w:rFonts w:ascii="宋体" w:hAnsi="宋体" w:eastAsia="宋体" w:cs="宋体"/>
                <w:kern w:val="0"/>
                <w:szCs w:val="21"/>
                <w:lang w:eastAsia="en-US"/>
              </w:rPr>
              <w:t>4</w:t>
            </w:r>
          </w:p>
        </w:tc>
        <w:tc>
          <w:tcPr>
            <w:tcW w:w="6502" w:type="dxa"/>
            <w:tcBorders>
              <w:top w:val="single" w:color="auto" w:sz="4" w:space="0"/>
              <w:bottom w:val="single" w:color="auto" w:sz="4" w:space="0"/>
              <w:right w:val="single" w:color="auto" w:sz="8" w:space="0"/>
            </w:tcBorders>
            <w:vAlign w:val="center"/>
          </w:tcPr>
          <w:p>
            <w:pPr>
              <w:spacing w:line="360" w:lineRule="auto"/>
              <w:ind w:firstLine="420" w:firstLineChars="200"/>
              <w:jc w:val="left"/>
              <w:rPr>
                <w:rFonts w:ascii="Times New Roman" w:hAnsi="Times New Roman" w:eastAsia="Times New Roman" w:cs="Times New Roman"/>
                <w:kern w:val="0"/>
                <w:szCs w:val="21"/>
              </w:rPr>
            </w:pPr>
            <w:r>
              <w:rPr>
                <w:rFonts w:hint="eastAsia" w:ascii="宋体" w:hAnsi="宋体" w:eastAsia="宋体" w:cs="宋体"/>
                <w:kern w:val="0"/>
                <w:szCs w:val="21"/>
              </w:rPr>
              <w:t>具有省级交通质量监督部门颁发的试验检测员证书，具有相关专业中级职称，从事类似试验、检测工作两年以上。</w:t>
            </w:r>
          </w:p>
        </w:tc>
      </w:tr>
      <w:tr>
        <w:tblPrEx>
          <w:tblLayout w:type="fixed"/>
          <w:tblCellMar>
            <w:top w:w="0" w:type="dxa"/>
            <w:left w:w="0" w:type="dxa"/>
            <w:bottom w:w="0" w:type="dxa"/>
            <w:right w:w="0" w:type="dxa"/>
          </w:tblCellMar>
        </w:tblPrEx>
        <w:trPr>
          <w:trHeight w:val="416" w:hRule="atLeast"/>
        </w:trPr>
        <w:tc>
          <w:tcPr>
            <w:tcW w:w="9160" w:type="dxa"/>
            <w:gridSpan w:val="3"/>
            <w:tcBorders>
              <w:top w:val="single" w:color="auto" w:sz="4" w:space="0"/>
              <w:left w:val="single" w:color="auto" w:sz="8" w:space="0"/>
              <w:bottom w:val="single" w:color="auto" w:sz="8" w:space="0"/>
              <w:right w:val="single" w:color="auto" w:sz="8" w:space="0"/>
            </w:tcBorders>
            <w:vAlign w:val="center"/>
          </w:tcPr>
          <w:p>
            <w:pPr>
              <w:spacing w:line="276" w:lineRule="auto"/>
              <w:jc w:val="left"/>
              <w:rPr>
                <w:rFonts w:ascii="宋体" w:hAnsi="宋体" w:eastAsia="宋体" w:cs="宋体"/>
                <w:kern w:val="0"/>
                <w:szCs w:val="21"/>
              </w:rPr>
            </w:pPr>
            <w:r>
              <w:rPr>
                <w:rFonts w:hint="eastAsia" w:ascii="宋体" w:hAnsi="宋体" w:eastAsia="宋体" w:cs="宋体"/>
                <w:kern w:val="0"/>
                <w:szCs w:val="21"/>
              </w:rPr>
              <w:t>要求：[1]具有交通运输部公路工程监理工程师（含专业监理工程师）资格证书的监理人员应为投标人自有人员。自有人员应在本单位进行岗位登记并依法签订劳动合同并提供社保缴费证明原件（并加盖缴费证明专用章）。</w:t>
            </w:r>
          </w:p>
          <w:p>
            <w:pPr>
              <w:spacing w:line="276" w:lineRule="auto"/>
              <w:jc w:val="left"/>
              <w:rPr>
                <w:rFonts w:ascii="宋体" w:hAnsi="宋体" w:eastAsia="宋体" w:cs="宋体"/>
                <w:kern w:val="0"/>
                <w:szCs w:val="21"/>
              </w:rPr>
            </w:pPr>
            <w:r>
              <w:rPr>
                <w:rFonts w:hint="eastAsia" w:ascii="宋体" w:hAnsi="宋体" w:eastAsia="宋体" w:cs="宋体"/>
                <w:kern w:val="0"/>
                <w:szCs w:val="21"/>
              </w:rPr>
              <w:t>[2]以上投标人员必须提供相应的专业监理工程师或监理工程师注册证、职称证、身份证、试验资格上岗证、培训证的彩色复印件。必须按兵交发[2012]28号文《兵团公路建设市场信用信息管理办法》的规定完成备案。</w:t>
            </w:r>
          </w:p>
          <w:p>
            <w:pPr>
              <w:spacing w:line="276" w:lineRule="auto"/>
              <w:jc w:val="left"/>
              <w:rPr>
                <w:rFonts w:ascii="宋体" w:hAnsi="宋体" w:eastAsia="宋体" w:cs="宋体"/>
                <w:kern w:val="0"/>
                <w:szCs w:val="21"/>
              </w:rPr>
            </w:pPr>
            <w:r>
              <w:rPr>
                <w:rFonts w:hint="eastAsia" w:ascii="宋体" w:hAnsi="宋体" w:eastAsia="宋体" w:cs="宋体"/>
                <w:kern w:val="0"/>
                <w:szCs w:val="21"/>
              </w:rPr>
              <w:t>[3]对监理工程师数量的要求，宜按照《公路工程施工监理规范》（JTG G10-2016）的规定配备。</w:t>
            </w:r>
          </w:p>
        </w:tc>
      </w:tr>
    </w:tbl>
    <w:p>
      <w:pPr>
        <w:spacing w:before="6"/>
        <w:jc w:val="left"/>
        <w:rPr>
          <w:rFonts w:ascii="宋体" w:hAnsi="宋体" w:eastAsia="宋体" w:cs="宋体"/>
          <w:b/>
          <w:color w:val="000000"/>
          <w:spacing w:val="-13"/>
          <w:kern w:val="0"/>
          <w:sz w:val="27"/>
          <w:szCs w:val="27"/>
        </w:rPr>
      </w:pPr>
      <w:r>
        <w:rPr>
          <w:rFonts w:hint="eastAsia" w:ascii="宋体" w:hAnsi="宋体" w:eastAsia="宋体" w:cs="宋体"/>
          <w:kern w:val="0"/>
          <w:sz w:val="22"/>
          <w:szCs w:val="21"/>
        </w:rPr>
        <w:t>注：此表人员不在投标文件中体现，由业主与中标单位签订合同时按此表人员要求确定，但是在投标文件中投标人必须对此表进行承诺，中标后须按此表相关人员资质要求配备相关人员，否则招标人有权取消其中标资格。</w:t>
      </w: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ascii="宋体" w:hAnsi="宋体" w:cs="宋体"/>
          <w:b/>
          <w:color w:val="000000"/>
          <w:spacing w:val="-21"/>
          <w:kern w:val="0"/>
          <w:sz w:val="28"/>
          <w:szCs w:val="28"/>
        </w:rPr>
      </w:pPr>
    </w:p>
    <w:p>
      <w:pPr>
        <w:spacing w:before="6"/>
        <w:rPr>
          <w:rFonts w:hint="eastAsia" w:ascii="宋体" w:hAnsi="宋体" w:cs="宋体"/>
          <w:b/>
          <w:color w:val="000000"/>
          <w:spacing w:val="-21"/>
          <w:kern w:val="0"/>
          <w:sz w:val="28"/>
          <w:szCs w:val="28"/>
        </w:rPr>
      </w:pPr>
    </w:p>
    <w:p>
      <w:pPr>
        <w:spacing w:before="6"/>
        <w:jc w:val="center"/>
        <w:rPr>
          <w:rFonts w:ascii="宋体" w:hAnsi="宋体" w:eastAsia="宋体" w:cs="宋体"/>
          <w:b/>
          <w:color w:val="000000"/>
          <w:spacing w:val="-21"/>
          <w:kern w:val="0"/>
          <w:sz w:val="28"/>
          <w:szCs w:val="28"/>
        </w:rPr>
      </w:pPr>
      <w:r>
        <w:rPr>
          <w:rFonts w:hint="eastAsia" w:ascii="宋体" w:hAnsi="宋体" w:eastAsia="宋体" w:cs="宋体"/>
          <w:b/>
          <w:color w:val="000000"/>
          <w:spacing w:val="-21"/>
          <w:kern w:val="0"/>
          <w:sz w:val="28"/>
          <w:szCs w:val="28"/>
        </w:rPr>
        <w:t>附录 6 -1  试验、检测设备</w:t>
      </w:r>
    </w:p>
    <w:p>
      <w:pPr>
        <w:spacing w:before="13" w:line="360" w:lineRule="auto"/>
        <w:ind w:left="168" w:right="106" w:firstLine="562" w:firstLineChars="200"/>
        <w:jc w:val="left"/>
        <w:rPr>
          <w:rFonts w:ascii="宋体" w:hAnsi="宋体" w:eastAsia="宋体" w:cs="Times New Roman"/>
          <w:b/>
          <w:bCs/>
          <w:kern w:val="0"/>
          <w:sz w:val="28"/>
          <w:szCs w:val="28"/>
        </w:rPr>
      </w:pPr>
      <w:r>
        <w:rPr>
          <w:rFonts w:hint="eastAsia" w:ascii="Calibri" w:hAnsi="Calibri" w:eastAsia="宋体" w:cs="Times New Roman"/>
          <w:b/>
          <w:bCs/>
          <w:kern w:val="0"/>
          <w:sz w:val="28"/>
          <w:szCs w:val="28"/>
        </w:rPr>
        <w:t>应按兵交发[2010]59号文关于《兵团公路工程建设项目工地试验室管理办法》的文件要求建立工地监理试验室，设备按文件要求提供，</w:t>
      </w:r>
      <w:r>
        <w:rPr>
          <w:rFonts w:hint="eastAsia" w:ascii="宋体" w:hAnsi="宋体" w:eastAsia="宋体" w:cs="Times New Roman"/>
          <w:b/>
          <w:bCs/>
          <w:kern w:val="0"/>
          <w:sz w:val="28"/>
          <w:szCs w:val="28"/>
        </w:rPr>
        <w:t>不满足文件要求的配置按否决投标处理。</w:t>
      </w:r>
    </w:p>
    <w:p>
      <w:pPr>
        <w:spacing w:before="13" w:line="360" w:lineRule="auto"/>
        <w:ind w:left="168" w:right="106" w:firstLine="562" w:firstLineChars="200"/>
        <w:jc w:val="left"/>
        <w:rPr>
          <w:rFonts w:ascii="宋体" w:hAnsi="宋体" w:eastAsia="宋体" w:cs="Times New Roman"/>
          <w:b/>
          <w:bCs/>
          <w:kern w:val="0"/>
          <w:sz w:val="28"/>
          <w:szCs w:val="28"/>
        </w:rPr>
      </w:pPr>
    </w:p>
    <w:p>
      <w:pPr>
        <w:spacing w:before="13" w:line="360" w:lineRule="auto"/>
        <w:ind w:left="168" w:right="106" w:firstLine="478" w:firstLineChars="200"/>
        <w:jc w:val="center"/>
        <w:rPr>
          <w:rFonts w:ascii="宋体" w:hAnsi="宋体" w:eastAsia="宋体" w:cs="宋体"/>
          <w:b/>
          <w:bCs/>
          <w:kern w:val="0"/>
          <w:sz w:val="28"/>
          <w:szCs w:val="28"/>
        </w:rPr>
      </w:pPr>
      <w:r>
        <w:rPr>
          <w:rFonts w:hint="eastAsia" w:ascii="宋体" w:hAnsi="宋体" w:eastAsia="宋体" w:cs="宋体"/>
          <w:b/>
          <w:color w:val="000000"/>
          <w:spacing w:val="-21"/>
          <w:kern w:val="0"/>
          <w:sz w:val="28"/>
          <w:szCs w:val="28"/>
        </w:rPr>
        <w:t xml:space="preserve">附录 6 -2 </w:t>
      </w:r>
      <w:r>
        <w:rPr>
          <w:rFonts w:hint="eastAsia" w:ascii="宋体" w:hAnsi="宋体" w:eastAsia="宋体" w:cs="宋体"/>
          <w:b/>
          <w:bCs/>
          <w:kern w:val="0"/>
          <w:sz w:val="28"/>
          <w:szCs w:val="28"/>
        </w:rPr>
        <w:t>监理工程师办公、生活用房及设施</w:t>
      </w:r>
    </w:p>
    <w:tbl>
      <w:tblPr>
        <w:tblStyle w:val="7"/>
        <w:tblW w:w="9621" w:type="dxa"/>
        <w:jc w:val="center"/>
        <w:tblInd w:w="0" w:type="dxa"/>
        <w:tblLayout w:type="fixed"/>
        <w:tblCellMar>
          <w:top w:w="15" w:type="dxa"/>
          <w:left w:w="15" w:type="dxa"/>
          <w:bottom w:w="15" w:type="dxa"/>
          <w:right w:w="15" w:type="dxa"/>
        </w:tblCellMar>
      </w:tblPr>
      <w:tblGrid>
        <w:gridCol w:w="897"/>
        <w:gridCol w:w="940"/>
        <w:gridCol w:w="4186"/>
        <w:gridCol w:w="980"/>
        <w:gridCol w:w="1119"/>
        <w:gridCol w:w="1499"/>
      </w:tblGrid>
      <w:tr>
        <w:tblPrEx>
          <w:tblLayout w:type="fixed"/>
          <w:tblCellMar>
            <w:top w:w="15" w:type="dxa"/>
            <w:left w:w="15" w:type="dxa"/>
            <w:bottom w:w="15" w:type="dxa"/>
            <w:right w:w="15" w:type="dxa"/>
          </w:tblCellMar>
        </w:tblPrEx>
        <w:trPr>
          <w:trHeight w:val="507" w:hRule="exact"/>
          <w:jc w:val="center"/>
        </w:trPr>
        <w:tc>
          <w:tcPr>
            <w:tcW w:w="89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办公用房及设施</w:t>
            </w:r>
          </w:p>
        </w:tc>
        <w:tc>
          <w:tcPr>
            <w:tcW w:w="94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序号</w:t>
            </w:r>
          </w:p>
        </w:tc>
        <w:tc>
          <w:tcPr>
            <w:tcW w:w="4186"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名称及型号</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单位</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数量</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备注</w:t>
            </w:r>
          </w:p>
        </w:tc>
      </w:tr>
      <w:tr>
        <w:tblPrEx>
          <w:tblLayout w:type="fixed"/>
          <w:tblCellMar>
            <w:top w:w="15" w:type="dxa"/>
            <w:left w:w="15" w:type="dxa"/>
            <w:bottom w:w="15" w:type="dxa"/>
            <w:right w:w="15" w:type="dxa"/>
          </w:tblCellMar>
        </w:tblPrEx>
        <w:trPr>
          <w:trHeight w:val="462" w:hRule="exact"/>
          <w:jc w:val="center"/>
        </w:trPr>
        <w:tc>
          <w:tcPr>
            <w:tcW w:w="897" w:type="dxa"/>
            <w:vMerge w:val="continue"/>
            <w:tcBorders>
              <w:left w:val="single" w:color="000000" w:sz="4" w:space="0"/>
              <w:right w:val="single" w:color="auto"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1</w:t>
            </w:r>
          </w:p>
        </w:tc>
        <w:tc>
          <w:tcPr>
            <w:tcW w:w="41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综合办公室</w:t>
            </w:r>
          </w:p>
        </w:tc>
        <w:tc>
          <w:tcPr>
            <w:tcW w:w="98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bottom"/>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ottom"/>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≥100㎡</w:t>
            </w:r>
          </w:p>
        </w:tc>
      </w:tr>
      <w:tr>
        <w:tblPrEx>
          <w:tblLayout w:type="fixed"/>
          <w:tblCellMar>
            <w:top w:w="15" w:type="dxa"/>
            <w:left w:w="15" w:type="dxa"/>
            <w:bottom w:w="15" w:type="dxa"/>
            <w:right w:w="15" w:type="dxa"/>
          </w:tblCellMar>
        </w:tblPrEx>
        <w:trPr>
          <w:trHeight w:val="442"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2</w:t>
            </w:r>
          </w:p>
        </w:tc>
        <w:tc>
          <w:tcPr>
            <w:tcW w:w="418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会议室</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≥80㎡</w:t>
            </w:r>
          </w:p>
        </w:tc>
      </w:tr>
      <w:tr>
        <w:tblPrEx>
          <w:tblLayout w:type="fixed"/>
          <w:tblCellMar>
            <w:top w:w="15" w:type="dxa"/>
            <w:left w:w="15" w:type="dxa"/>
            <w:bottom w:w="15" w:type="dxa"/>
            <w:right w:w="15" w:type="dxa"/>
          </w:tblCellMar>
        </w:tblPrEx>
        <w:trPr>
          <w:trHeight w:val="41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3</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试验室</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≥80㎡</w:t>
            </w:r>
          </w:p>
        </w:tc>
      </w:tr>
      <w:tr>
        <w:tblPrEx>
          <w:tblLayout w:type="fixed"/>
          <w:tblCellMar>
            <w:top w:w="15" w:type="dxa"/>
            <w:left w:w="15" w:type="dxa"/>
            <w:bottom w:w="15" w:type="dxa"/>
            <w:right w:w="15" w:type="dxa"/>
          </w:tblCellMar>
        </w:tblPrEx>
        <w:trPr>
          <w:trHeight w:val="48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4</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档案室</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≥15㎡</w:t>
            </w:r>
          </w:p>
        </w:tc>
      </w:tr>
      <w:tr>
        <w:tblPrEx>
          <w:tblLayout w:type="fixed"/>
          <w:tblCellMar>
            <w:top w:w="15" w:type="dxa"/>
            <w:left w:w="15" w:type="dxa"/>
            <w:bottom w:w="15" w:type="dxa"/>
            <w:right w:w="15" w:type="dxa"/>
          </w:tblCellMar>
        </w:tblPrEx>
        <w:trPr>
          <w:trHeight w:val="502"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5</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办公桌</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张</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r>
      <w:tr>
        <w:tblPrEx>
          <w:tblLayout w:type="fixed"/>
          <w:tblCellMar>
            <w:top w:w="15" w:type="dxa"/>
            <w:left w:w="15" w:type="dxa"/>
            <w:bottom w:w="15" w:type="dxa"/>
            <w:right w:w="15" w:type="dxa"/>
          </w:tblCellMar>
        </w:tblPrEx>
        <w:trPr>
          <w:trHeight w:val="53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6</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办公椅</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把</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8</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r>
      <w:tr>
        <w:tblPrEx>
          <w:tblLayout w:type="fixed"/>
          <w:tblCellMar>
            <w:top w:w="15" w:type="dxa"/>
            <w:left w:w="15" w:type="dxa"/>
            <w:bottom w:w="15" w:type="dxa"/>
            <w:right w:w="15" w:type="dxa"/>
          </w:tblCellMar>
        </w:tblPrEx>
        <w:trPr>
          <w:trHeight w:val="462"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7</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电脑</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台</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2</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r>
      <w:tr>
        <w:tblPrEx>
          <w:tblLayout w:type="fixed"/>
          <w:tblCellMar>
            <w:top w:w="15" w:type="dxa"/>
            <w:left w:w="15" w:type="dxa"/>
            <w:bottom w:w="15" w:type="dxa"/>
            <w:right w:w="15" w:type="dxa"/>
          </w:tblCellMar>
        </w:tblPrEx>
        <w:trPr>
          <w:trHeight w:val="49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8</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打印机</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台</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r>
      <w:tr>
        <w:tblPrEx>
          <w:tblLayout w:type="fixed"/>
          <w:tblCellMar>
            <w:top w:w="15" w:type="dxa"/>
            <w:left w:w="15" w:type="dxa"/>
            <w:bottom w:w="15" w:type="dxa"/>
            <w:right w:w="15" w:type="dxa"/>
          </w:tblCellMar>
        </w:tblPrEx>
        <w:trPr>
          <w:trHeight w:val="452"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9</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传真机</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kern w:val="0"/>
                <w:sz w:val="22"/>
                <w:szCs w:val="21"/>
                <w:lang w:eastAsia="en-US"/>
              </w:rPr>
            </w:pPr>
          </w:p>
          <w:p>
            <w:pPr>
              <w:jc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台</w:t>
            </w: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r>
      <w:tr>
        <w:tblPrEx>
          <w:tblLayout w:type="fixed"/>
          <w:tblCellMar>
            <w:top w:w="15" w:type="dxa"/>
            <w:left w:w="15" w:type="dxa"/>
            <w:bottom w:w="15" w:type="dxa"/>
            <w:right w:w="15" w:type="dxa"/>
          </w:tblCellMar>
        </w:tblPrEx>
        <w:trPr>
          <w:trHeight w:val="482"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10</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复印机</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台</w:t>
            </w: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带扫描功能</w:t>
            </w:r>
          </w:p>
        </w:tc>
      </w:tr>
      <w:tr>
        <w:tblPrEx>
          <w:tblLayout w:type="fixed"/>
          <w:tblCellMar>
            <w:top w:w="15" w:type="dxa"/>
            <w:left w:w="15" w:type="dxa"/>
            <w:bottom w:w="15" w:type="dxa"/>
            <w:right w:w="15" w:type="dxa"/>
          </w:tblCellMar>
        </w:tblPrEx>
        <w:trPr>
          <w:trHeight w:val="49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11</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文件柜</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组</w:t>
            </w: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2</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p>
        </w:tc>
      </w:tr>
      <w:tr>
        <w:tblPrEx>
          <w:tblLayout w:type="fixed"/>
          <w:tblCellMar>
            <w:top w:w="15" w:type="dxa"/>
            <w:left w:w="15" w:type="dxa"/>
            <w:bottom w:w="15" w:type="dxa"/>
            <w:right w:w="15" w:type="dxa"/>
          </w:tblCellMar>
        </w:tblPrEx>
        <w:trPr>
          <w:trHeight w:val="582" w:hRule="exact"/>
          <w:jc w:val="center"/>
        </w:trPr>
        <w:tc>
          <w:tcPr>
            <w:tcW w:w="89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12</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车辆</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辆</w:t>
            </w:r>
          </w:p>
        </w:tc>
        <w:tc>
          <w:tcPr>
            <w:tcW w:w="11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2</w:t>
            </w:r>
          </w:p>
        </w:tc>
        <w:tc>
          <w:tcPr>
            <w:tcW w:w="1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1辆越野车</w:t>
            </w:r>
          </w:p>
          <w:p>
            <w:pPr>
              <w:jc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1辆皮卡车</w:t>
            </w:r>
          </w:p>
        </w:tc>
      </w:tr>
      <w:tr>
        <w:tblPrEx>
          <w:tblLayout w:type="fixed"/>
          <w:tblCellMar>
            <w:top w:w="15" w:type="dxa"/>
            <w:left w:w="15" w:type="dxa"/>
            <w:bottom w:w="15" w:type="dxa"/>
            <w:right w:w="15" w:type="dxa"/>
          </w:tblCellMar>
        </w:tblPrEx>
        <w:trPr>
          <w:trHeight w:val="492" w:hRule="exact"/>
          <w:jc w:val="center"/>
        </w:trPr>
        <w:tc>
          <w:tcPr>
            <w:tcW w:w="89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生活用房及设施</w:t>
            </w: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序号</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名称及型号</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宋体" w:hAnsi="宋体" w:eastAsia="宋体" w:cs="宋体"/>
                <w:kern w:val="0"/>
                <w:sz w:val="22"/>
                <w:szCs w:val="21"/>
                <w:lang w:eastAsia="en-US" w:bidi="ar"/>
              </w:rPr>
              <w:t>单位</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数量</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备注</w:t>
            </w:r>
          </w:p>
        </w:tc>
      </w:tr>
      <w:tr>
        <w:tblPrEx>
          <w:tblLayout w:type="fixed"/>
          <w:tblCellMar>
            <w:top w:w="15" w:type="dxa"/>
            <w:left w:w="15" w:type="dxa"/>
            <w:bottom w:w="15" w:type="dxa"/>
            <w:right w:w="15" w:type="dxa"/>
          </w:tblCellMar>
        </w:tblPrEx>
        <w:trPr>
          <w:trHeight w:val="49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人员宿舍</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≥4</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≥60㎡</w:t>
            </w:r>
          </w:p>
        </w:tc>
      </w:tr>
      <w:tr>
        <w:tblPrEx>
          <w:tblLayout w:type="fixed"/>
          <w:tblCellMar>
            <w:top w:w="15" w:type="dxa"/>
            <w:left w:w="15" w:type="dxa"/>
            <w:bottom w:w="15" w:type="dxa"/>
            <w:right w:w="15" w:type="dxa"/>
          </w:tblCellMar>
        </w:tblPrEx>
        <w:trPr>
          <w:trHeight w:val="497" w:hRule="exact"/>
          <w:jc w:val="center"/>
        </w:trPr>
        <w:tc>
          <w:tcPr>
            <w:tcW w:w="897" w:type="dxa"/>
            <w:vMerge w:val="continue"/>
            <w:tcBorders>
              <w:left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2</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bidi="ar"/>
              </w:rPr>
              <w:t>洗浴间</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Calibri" w:hAnsi="Calibri" w:eastAsia="宋体" w:cs="Times New Roman"/>
                <w:kern w:val="0"/>
                <w:sz w:val="22"/>
                <w:szCs w:val="21"/>
                <w:lang w:eastAsia="en-US"/>
              </w:rPr>
            </w:pPr>
            <w:r>
              <w:rPr>
                <w:rFonts w:hint="eastAsia" w:ascii="Calibri" w:hAnsi="Calibri" w:eastAsia="宋体" w:cs="Times New Roman"/>
                <w:kern w:val="0"/>
                <w:sz w:val="22"/>
                <w:szCs w:val="21"/>
                <w:lang w:eastAsia="en-US"/>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≥15㎡</w:t>
            </w:r>
          </w:p>
        </w:tc>
      </w:tr>
      <w:tr>
        <w:tblPrEx>
          <w:tblLayout w:type="fixed"/>
          <w:tblCellMar>
            <w:top w:w="15" w:type="dxa"/>
            <w:left w:w="15" w:type="dxa"/>
            <w:bottom w:w="15" w:type="dxa"/>
            <w:right w:w="15" w:type="dxa"/>
          </w:tblCellMar>
        </w:tblPrEx>
        <w:trPr>
          <w:trHeight w:val="482" w:hRule="exact"/>
          <w:jc w:val="center"/>
        </w:trPr>
        <w:tc>
          <w:tcPr>
            <w:tcW w:w="89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p>
        </w:tc>
        <w:tc>
          <w:tcPr>
            <w:tcW w:w="9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3</w:t>
            </w:r>
          </w:p>
        </w:tc>
        <w:tc>
          <w:tcPr>
            <w:tcW w:w="4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餐厅、食堂</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bidi="ar"/>
              </w:rPr>
            </w:pPr>
            <w:r>
              <w:rPr>
                <w:rFonts w:hint="eastAsia" w:ascii="宋体" w:hAnsi="宋体" w:eastAsia="宋体" w:cs="宋体"/>
                <w:kern w:val="0"/>
                <w:sz w:val="22"/>
                <w:szCs w:val="21"/>
                <w:lang w:eastAsia="en-US" w:bidi="ar"/>
              </w:rPr>
              <w:t>间</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1</w:t>
            </w:r>
          </w:p>
        </w:tc>
        <w:tc>
          <w:tcPr>
            <w:tcW w:w="1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kern w:val="0"/>
                <w:sz w:val="22"/>
                <w:szCs w:val="21"/>
                <w:lang w:eastAsia="en-US"/>
              </w:rPr>
            </w:pPr>
            <w:r>
              <w:rPr>
                <w:rFonts w:hint="eastAsia" w:ascii="宋体" w:hAnsi="宋体" w:eastAsia="宋体" w:cs="宋体"/>
                <w:kern w:val="0"/>
                <w:sz w:val="22"/>
                <w:szCs w:val="21"/>
                <w:lang w:eastAsia="en-US"/>
              </w:rPr>
              <w:t>≥50㎡</w:t>
            </w:r>
          </w:p>
        </w:tc>
      </w:tr>
    </w:tbl>
    <w:p>
      <w:pPr>
        <w:spacing w:before="13" w:line="360" w:lineRule="auto"/>
        <w:ind w:left="168" w:right="106" w:firstLine="562" w:firstLineChars="200"/>
        <w:rPr>
          <w:rFonts w:ascii="宋体" w:hAnsi="宋体" w:eastAsia="宋体" w:cs="宋体"/>
          <w:b/>
          <w:bCs/>
          <w:kern w:val="0"/>
          <w:sz w:val="28"/>
          <w:szCs w:val="28"/>
          <w:lang w:eastAsia="en-US"/>
        </w:rPr>
      </w:pPr>
    </w:p>
    <w:p>
      <w:pPr>
        <w:pStyle w:val="11"/>
        <w:ind w:left="420" w:firstLine="0" w:firstLineChars="0"/>
      </w:pPr>
    </w:p>
    <w:p>
      <w:pPr>
        <w:pStyle w:val="11"/>
        <w:ind w:left="420" w:firstLine="0" w:firstLineChars="0"/>
        <w:rPr>
          <w:sz w:val="22"/>
        </w:rPr>
      </w:pPr>
    </w:p>
    <w:p>
      <w:pPr>
        <w:pStyle w:val="11"/>
        <w:ind w:left="420" w:firstLine="0" w:firstLineChars="0"/>
        <w:rPr>
          <w:sz w:val="22"/>
        </w:rPr>
      </w:pPr>
    </w:p>
    <w:p>
      <w:pPr>
        <w:pStyle w:val="11"/>
        <w:ind w:left="420" w:firstLine="0" w:firstLineChars="0"/>
        <w:rPr>
          <w:sz w:val="22"/>
        </w:rPr>
      </w:pPr>
    </w:p>
    <w:p>
      <w:pPr>
        <w:pStyle w:val="11"/>
        <w:ind w:left="420" w:firstLine="0" w:firstLineChars="0"/>
        <w:rPr>
          <w:sz w:val="22"/>
        </w:rPr>
      </w:pPr>
    </w:p>
    <w:p>
      <w:pPr>
        <w:pStyle w:val="11"/>
        <w:ind w:left="420" w:firstLine="0" w:firstLineChars="0"/>
        <w:rPr>
          <w:sz w:val="22"/>
        </w:rPr>
      </w:pPr>
    </w:p>
    <w:p>
      <w:pPr>
        <w:pStyle w:val="11"/>
        <w:ind w:left="420" w:firstLine="0" w:firstLineChars="0"/>
        <w:rPr>
          <w:sz w:val="22"/>
        </w:rPr>
      </w:pPr>
    </w:p>
    <w:p>
      <w:pPr>
        <w:pStyle w:val="11"/>
        <w:ind w:left="420" w:firstLine="0" w:firstLineChars="0"/>
        <w:rPr>
          <w:sz w:val="22"/>
        </w:rPr>
      </w:pPr>
    </w:p>
    <w:p>
      <w:pPr>
        <w:pStyle w:val="11"/>
        <w:ind w:left="420" w:firstLine="0" w:firstLineChars="0"/>
        <w:rPr>
          <w:sz w:val="22"/>
        </w:rPr>
      </w:pPr>
    </w:p>
    <w:p>
      <w:pPr>
        <w:pStyle w:val="11"/>
        <w:ind w:left="420" w:firstLine="0" w:firstLineChars="0"/>
        <w:rPr>
          <w:sz w:val="28"/>
        </w:rPr>
      </w:pPr>
      <w:r>
        <w:rPr>
          <w:rFonts w:hint="eastAsia"/>
          <w:sz w:val="28"/>
        </w:rPr>
        <w:t>四、监理评标办法</w:t>
      </w:r>
    </w:p>
    <w:p>
      <w:pPr>
        <w:ind w:left="142"/>
        <w:jc w:val="left"/>
        <w:rPr>
          <w:rFonts w:ascii="宋体" w:hAnsi="宋体" w:eastAsia="宋体" w:cs="宋体"/>
          <w:b/>
          <w:bCs/>
          <w:kern w:val="0"/>
          <w:szCs w:val="21"/>
        </w:rPr>
      </w:pPr>
      <w:r>
        <w:rPr>
          <w:rFonts w:ascii="黑体" w:hAnsi="黑体" w:eastAsia="黑体" w:cs="黑体"/>
          <w:b/>
          <w:bCs/>
          <w:kern w:val="0"/>
          <w:sz w:val="24"/>
          <w:szCs w:val="28"/>
        </w:rPr>
        <w:t>评标办法前附表</w:t>
      </w:r>
    </w:p>
    <w:tbl>
      <w:tblPr>
        <w:tblStyle w:val="16"/>
        <w:tblW w:w="9429" w:type="dxa"/>
        <w:tblInd w:w="109" w:type="dxa"/>
        <w:tblLayout w:type="fixed"/>
        <w:tblCellMar>
          <w:top w:w="0" w:type="dxa"/>
          <w:left w:w="0" w:type="dxa"/>
          <w:bottom w:w="0" w:type="dxa"/>
          <w:right w:w="0" w:type="dxa"/>
        </w:tblCellMar>
      </w:tblPr>
      <w:tblGrid>
        <w:gridCol w:w="732"/>
        <w:gridCol w:w="1262"/>
        <w:gridCol w:w="7435"/>
      </w:tblGrid>
      <w:tr>
        <w:tblPrEx>
          <w:tblLayout w:type="fixed"/>
          <w:tblCellMar>
            <w:top w:w="0" w:type="dxa"/>
            <w:left w:w="0" w:type="dxa"/>
            <w:bottom w:w="0" w:type="dxa"/>
            <w:right w:w="0" w:type="dxa"/>
          </w:tblCellMar>
        </w:tblPrEx>
        <w:trPr>
          <w:trHeight w:val="372" w:hRule="exact"/>
        </w:trPr>
        <w:tc>
          <w:tcPr>
            <w:tcW w:w="1994" w:type="dxa"/>
            <w:gridSpan w:val="2"/>
            <w:tcBorders>
              <w:top w:val="single" w:color="000000" w:sz="4" w:space="0"/>
              <w:left w:val="single" w:color="000000" w:sz="4" w:space="0"/>
              <w:bottom w:val="single" w:color="000000" w:sz="4" w:space="0"/>
              <w:right w:val="single" w:color="000000" w:sz="4" w:space="0"/>
            </w:tcBorders>
          </w:tcPr>
          <w:p>
            <w:pPr>
              <w:spacing w:before="54"/>
              <w:jc w:val="center"/>
              <w:rPr>
                <w:rFonts w:ascii="宋体" w:hAnsi="宋体" w:eastAsia="宋体" w:cs="宋体"/>
                <w:kern w:val="0"/>
                <w:sz w:val="20"/>
                <w:szCs w:val="21"/>
                <w:lang w:eastAsia="en-US"/>
              </w:rPr>
            </w:pPr>
            <w:r>
              <w:rPr>
                <w:rFonts w:ascii="宋体" w:hAnsi="宋体" w:eastAsia="宋体" w:cs="宋体"/>
                <w:b/>
                <w:bCs/>
                <w:kern w:val="0"/>
                <w:sz w:val="20"/>
                <w:szCs w:val="21"/>
                <w:lang w:eastAsia="en-US"/>
              </w:rPr>
              <w:t>条款号</w:t>
            </w:r>
          </w:p>
        </w:tc>
        <w:tc>
          <w:tcPr>
            <w:tcW w:w="7435" w:type="dxa"/>
            <w:tcBorders>
              <w:top w:val="single" w:color="000000" w:sz="4" w:space="0"/>
              <w:left w:val="single" w:color="000000" w:sz="4" w:space="0"/>
              <w:bottom w:val="single" w:color="000000" w:sz="4" w:space="0"/>
              <w:right w:val="single" w:color="000000" w:sz="4" w:space="0"/>
            </w:tcBorders>
          </w:tcPr>
          <w:p>
            <w:pPr>
              <w:spacing w:before="54"/>
              <w:ind w:right="2"/>
              <w:jc w:val="center"/>
              <w:rPr>
                <w:rFonts w:ascii="宋体" w:hAnsi="宋体" w:eastAsia="宋体" w:cs="宋体"/>
                <w:kern w:val="0"/>
                <w:sz w:val="20"/>
                <w:szCs w:val="21"/>
                <w:lang w:eastAsia="en-US"/>
              </w:rPr>
            </w:pPr>
            <w:r>
              <w:rPr>
                <w:rFonts w:ascii="宋体" w:hAnsi="宋体" w:eastAsia="宋体" w:cs="宋体"/>
                <w:b/>
                <w:bCs/>
                <w:kern w:val="0"/>
                <w:sz w:val="20"/>
                <w:szCs w:val="21"/>
                <w:lang w:eastAsia="en-US"/>
              </w:rPr>
              <w:t>评审因素与评审标准</w:t>
            </w:r>
          </w:p>
        </w:tc>
      </w:tr>
      <w:tr>
        <w:tblPrEx>
          <w:tblLayout w:type="fixed"/>
          <w:tblCellMar>
            <w:top w:w="0" w:type="dxa"/>
            <w:left w:w="0" w:type="dxa"/>
            <w:bottom w:w="0" w:type="dxa"/>
            <w:right w:w="0" w:type="dxa"/>
          </w:tblCellMar>
        </w:tblPrEx>
        <w:trPr>
          <w:trHeight w:val="2214" w:hRule="exact"/>
        </w:trPr>
        <w:tc>
          <w:tcPr>
            <w:tcW w:w="732"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b/>
                <w:bCs/>
                <w:kern w:val="0"/>
                <w:sz w:val="20"/>
                <w:szCs w:val="20"/>
                <w:lang w:eastAsia="en-US"/>
              </w:rPr>
            </w:pPr>
          </w:p>
          <w:p>
            <w:pPr>
              <w:jc w:val="left"/>
              <w:rPr>
                <w:rFonts w:ascii="宋体" w:hAnsi="宋体" w:eastAsia="宋体" w:cs="宋体"/>
                <w:b/>
                <w:bCs/>
                <w:kern w:val="0"/>
                <w:sz w:val="20"/>
                <w:szCs w:val="20"/>
                <w:lang w:eastAsia="en-US"/>
              </w:rPr>
            </w:pPr>
          </w:p>
          <w:p>
            <w:pPr>
              <w:jc w:val="left"/>
              <w:rPr>
                <w:rFonts w:ascii="宋体" w:hAnsi="宋体" w:eastAsia="宋体" w:cs="宋体"/>
                <w:b/>
                <w:bCs/>
                <w:kern w:val="0"/>
                <w:sz w:val="20"/>
                <w:szCs w:val="20"/>
                <w:lang w:eastAsia="en-US"/>
              </w:rPr>
            </w:pPr>
          </w:p>
          <w:p>
            <w:pPr>
              <w:spacing w:before="7"/>
              <w:jc w:val="left"/>
              <w:rPr>
                <w:rFonts w:ascii="宋体" w:hAnsi="宋体" w:eastAsia="宋体" w:cs="宋体"/>
                <w:b/>
                <w:bCs/>
                <w:kern w:val="0"/>
                <w:sz w:val="17"/>
                <w:szCs w:val="17"/>
                <w:lang w:eastAsia="en-US"/>
              </w:rPr>
            </w:pPr>
          </w:p>
          <w:p>
            <w:pPr>
              <w:jc w:val="center"/>
              <w:rPr>
                <w:rFonts w:ascii="Times New Roman" w:hAnsi="Times New Roman" w:eastAsia="Times New Roman" w:cs="Times New Roman"/>
                <w:kern w:val="0"/>
                <w:sz w:val="20"/>
                <w:szCs w:val="21"/>
                <w:lang w:eastAsia="en-US"/>
              </w:rPr>
            </w:pPr>
            <w:r>
              <w:rPr>
                <w:rFonts w:ascii="Times New Roman" w:hAnsi="Calibri" w:eastAsia="宋体" w:cs="Times New Roman"/>
                <w:kern w:val="0"/>
                <w:sz w:val="20"/>
                <w:szCs w:val="20"/>
                <w:lang w:eastAsia="en-US"/>
              </w:rPr>
              <w:t>1</w:t>
            </w:r>
          </w:p>
        </w:tc>
        <w:tc>
          <w:tcPr>
            <w:tcW w:w="1262"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b/>
                <w:bCs/>
                <w:kern w:val="0"/>
                <w:sz w:val="20"/>
                <w:szCs w:val="21"/>
                <w:lang w:eastAsia="en-US"/>
              </w:rPr>
            </w:pPr>
          </w:p>
          <w:p>
            <w:pPr>
              <w:jc w:val="left"/>
              <w:rPr>
                <w:rFonts w:ascii="宋体" w:hAnsi="宋体" w:eastAsia="宋体" w:cs="宋体"/>
                <w:b/>
                <w:bCs/>
                <w:kern w:val="0"/>
                <w:sz w:val="20"/>
                <w:szCs w:val="21"/>
                <w:lang w:eastAsia="en-US"/>
              </w:rPr>
            </w:pPr>
          </w:p>
          <w:p>
            <w:pPr>
              <w:jc w:val="left"/>
              <w:rPr>
                <w:rFonts w:ascii="宋体" w:hAnsi="宋体" w:eastAsia="宋体" w:cs="宋体"/>
                <w:b/>
                <w:bCs/>
                <w:kern w:val="0"/>
                <w:sz w:val="20"/>
                <w:szCs w:val="21"/>
                <w:lang w:eastAsia="en-US"/>
              </w:rPr>
            </w:pPr>
          </w:p>
          <w:p>
            <w:pPr>
              <w:spacing w:before="170"/>
              <w:ind w:left="206"/>
              <w:jc w:val="left"/>
              <w:rPr>
                <w:rFonts w:ascii="宋体" w:hAnsi="宋体" w:eastAsia="宋体" w:cs="宋体"/>
                <w:kern w:val="0"/>
                <w:sz w:val="20"/>
                <w:szCs w:val="21"/>
                <w:lang w:eastAsia="en-US"/>
              </w:rPr>
            </w:pPr>
            <w:r>
              <w:rPr>
                <w:rFonts w:ascii="宋体" w:hAnsi="宋体" w:eastAsia="宋体" w:cs="宋体"/>
                <w:kern w:val="0"/>
                <w:sz w:val="20"/>
                <w:szCs w:val="21"/>
                <w:lang w:eastAsia="en-US"/>
              </w:rPr>
              <w:t>评标方法</w:t>
            </w:r>
          </w:p>
        </w:tc>
        <w:tc>
          <w:tcPr>
            <w:tcW w:w="7435"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03" w:right="101" w:firstLine="420"/>
              <w:rPr>
                <w:rFonts w:ascii="Calibri" w:hAnsi="Calibri" w:eastAsia="宋体" w:cs="Times New Roman"/>
                <w:kern w:val="0"/>
                <w:sz w:val="22"/>
                <w:szCs w:val="21"/>
              </w:rPr>
            </w:pPr>
            <w:r>
              <w:rPr>
                <w:rFonts w:ascii="Calibri" w:hAnsi="Calibri" w:eastAsia="宋体" w:cs="Times New Roman"/>
                <w:kern w:val="0"/>
                <w:sz w:val="22"/>
                <w:szCs w:val="21"/>
              </w:rPr>
              <w:t>经评审的投标价相等时，评标委员会依次按照以下优先顺序推荐中标 候选人或确定中标人：</w:t>
            </w:r>
          </w:p>
          <w:p>
            <w:pPr>
              <w:spacing w:line="360" w:lineRule="auto"/>
              <w:ind w:left="523"/>
              <w:rPr>
                <w:rFonts w:ascii="Calibri" w:hAnsi="Calibri" w:eastAsia="宋体" w:cs="Times New Roman"/>
                <w:kern w:val="0"/>
                <w:sz w:val="22"/>
                <w:szCs w:val="21"/>
              </w:rPr>
            </w:pPr>
            <w:r>
              <w:rPr>
                <w:rFonts w:ascii="Calibri" w:hAnsi="Calibri" w:eastAsia="宋体" w:cs="Times New Roman"/>
                <w:kern w:val="0"/>
                <w:sz w:val="22"/>
                <w:szCs w:val="21"/>
              </w:rPr>
              <w:t>（1）投标报价低的投标人优先；</w:t>
            </w:r>
          </w:p>
          <w:p>
            <w:pPr>
              <w:spacing w:line="360" w:lineRule="auto"/>
              <w:ind w:left="103" w:right="108" w:firstLine="420"/>
              <w:rPr>
                <w:rFonts w:ascii="Calibri" w:hAnsi="Calibri" w:eastAsia="宋体" w:cs="Times New Roman"/>
                <w:kern w:val="0"/>
                <w:sz w:val="22"/>
                <w:szCs w:val="21"/>
              </w:rPr>
            </w:pPr>
            <w:r>
              <w:rPr>
                <w:rFonts w:ascii="Calibri" w:hAnsi="Calibri" w:eastAsia="宋体" w:cs="Times New Roman"/>
                <w:kern w:val="0"/>
                <w:sz w:val="22"/>
                <w:szCs w:val="21"/>
              </w:rPr>
              <w:t>（2）</w:t>
            </w:r>
            <w:r>
              <w:rPr>
                <w:rFonts w:hint="eastAsia" w:ascii="Calibri" w:hAnsi="Calibri" w:eastAsia="宋体" w:cs="Times New Roman"/>
                <w:kern w:val="0"/>
                <w:sz w:val="22"/>
                <w:szCs w:val="21"/>
              </w:rPr>
              <w:t>兵团信用信息评价中</w:t>
            </w:r>
            <w:r>
              <w:rPr>
                <w:rFonts w:ascii="Calibri" w:hAnsi="Calibri" w:eastAsia="宋体" w:cs="Times New Roman"/>
                <w:kern w:val="0"/>
                <w:sz w:val="22"/>
                <w:szCs w:val="21"/>
              </w:rPr>
              <w:t>评为较高信用等级的投标人优先；</w:t>
            </w:r>
          </w:p>
          <w:p>
            <w:pPr>
              <w:spacing w:line="360" w:lineRule="auto"/>
              <w:ind w:left="523"/>
              <w:rPr>
                <w:rFonts w:ascii="Times New Roman" w:hAnsi="Times New Roman" w:eastAsia="Times New Roman" w:cs="Times New Roman"/>
                <w:kern w:val="0"/>
                <w:sz w:val="20"/>
                <w:szCs w:val="21"/>
              </w:rPr>
            </w:pPr>
            <w:r>
              <w:rPr>
                <w:rFonts w:ascii="Calibri" w:hAnsi="Calibri" w:eastAsia="宋体" w:cs="Times New Roman"/>
                <w:kern w:val="0"/>
                <w:sz w:val="22"/>
                <w:szCs w:val="21"/>
              </w:rPr>
              <w:t>（3）</w:t>
            </w:r>
            <w:r>
              <w:rPr>
                <w:rFonts w:hint="eastAsia" w:ascii="Calibri" w:hAnsi="Calibri" w:eastAsia="宋体" w:cs="Times New Roman"/>
                <w:kern w:val="0"/>
                <w:sz w:val="22"/>
                <w:szCs w:val="21"/>
              </w:rPr>
              <w:t>商务和技术得分较高的投标人优先；</w:t>
            </w:r>
          </w:p>
        </w:tc>
      </w:tr>
      <w:tr>
        <w:tblPrEx>
          <w:tblLayout w:type="fixed"/>
          <w:tblCellMar>
            <w:top w:w="0" w:type="dxa"/>
            <w:left w:w="0" w:type="dxa"/>
            <w:bottom w:w="0" w:type="dxa"/>
            <w:right w:w="0" w:type="dxa"/>
          </w:tblCellMar>
        </w:tblPrEx>
        <w:trPr>
          <w:trHeight w:val="10505" w:hRule="exact"/>
        </w:trPr>
        <w:tc>
          <w:tcPr>
            <w:tcW w:w="732"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jc w:val="left"/>
              <w:rPr>
                <w:rFonts w:ascii="宋体" w:hAnsi="宋体" w:eastAsia="宋体" w:cs="宋体"/>
                <w:b/>
                <w:bCs/>
                <w:kern w:val="0"/>
                <w:sz w:val="20"/>
                <w:szCs w:val="20"/>
              </w:rPr>
            </w:pPr>
          </w:p>
          <w:p>
            <w:pPr>
              <w:spacing w:before="11"/>
              <w:jc w:val="left"/>
              <w:rPr>
                <w:rFonts w:ascii="宋体" w:hAnsi="宋体" w:eastAsia="宋体" w:cs="宋体"/>
                <w:b/>
                <w:bCs/>
                <w:kern w:val="0"/>
                <w:sz w:val="23"/>
                <w:szCs w:val="23"/>
              </w:rPr>
            </w:pPr>
          </w:p>
          <w:p>
            <w:pPr>
              <w:ind w:left="148"/>
              <w:jc w:val="left"/>
              <w:rPr>
                <w:rFonts w:ascii="Times New Roman" w:hAnsi="Times New Roman" w:eastAsia="Times New Roman" w:cs="Times New Roman"/>
                <w:kern w:val="0"/>
                <w:sz w:val="20"/>
                <w:szCs w:val="21"/>
                <w:lang w:eastAsia="en-US"/>
              </w:rPr>
            </w:pPr>
            <w:r>
              <w:rPr>
                <w:rFonts w:ascii="Times New Roman" w:hAnsi="Calibri" w:eastAsia="宋体" w:cs="Times New Roman"/>
                <w:kern w:val="0"/>
                <w:sz w:val="20"/>
                <w:szCs w:val="20"/>
                <w:lang w:eastAsia="en-US"/>
              </w:rPr>
              <w:t>2.1.1</w:t>
            </w:r>
          </w:p>
          <w:p>
            <w:pPr>
              <w:spacing w:before="118"/>
              <w:ind w:left="148"/>
              <w:jc w:val="left"/>
              <w:rPr>
                <w:rFonts w:ascii="Times New Roman" w:hAnsi="Times New Roman" w:eastAsia="Times New Roman" w:cs="Times New Roman"/>
                <w:kern w:val="0"/>
                <w:sz w:val="20"/>
                <w:szCs w:val="21"/>
                <w:lang w:eastAsia="en-US"/>
              </w:rPr>
            </w:pPr>
            <w:r>
              <w:rPr>
                <w:rFonts w:ascii="Times New Roman" w:hAnsi="Calibri" w:eastAsia="宋体" w:cs="Times New Roman"/>
                <w:kern w:val="0"/>
                <w:sz w:val="20"/>
                <w:szCs w:val="20"/>
                <w:lang w:eastAsia="en-US"/>
              </w:rPr>
              <w:t>2.1.3</w:t>
            </w:r>
          </w:p>
        </w:tc>
        <w:tc>
          <w:tcPr>
            <w:tcW w:w="1262"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jc w:val="left"/>
              <w:rPr>
                <w:rFonts w:ascii="宋体" w:hAnsi="宋体" w:eastAsia="宋体" w:cs="宋体"/>
                <w:b/>
                <w:bCs/>
                <w:kern w:val="0"/>
                <w:sz w:val="20"/>
                <w:szCs w:val="21"/>
              </w:rPr>
            </w:pPr>
          </w:p>
          <w:p>
            <w:pPr>
              <w:spacing w:before="7"/>
              <w:jc w:val="left"/>
              <w:rPr>
                <w:rFonts w:ascii="宋体" w:hAnsi="宋体" w:eastAsia="宋体" w:cs="宋体"/>
                <w:b/>
                <w:bCs/>
                <w:kern w:val="0"/>
                <w:sz w:val="20"/>
                <w:szCs w:val="21"/>
              </w:rPr>
            </w:pPr>
          </w:p>
          <w:p>
            <w:pPr>
              <w:spacing w:line="314" w:lineRule="auto"/>
              <w:ind w:left="206" w:right="201"/>
              <w:rPr>
                <w:rFonts w:ascii="宋体" w:hAnsi="宋体" w:eastAsia="宋体" w:cs="宋体"/>
                <w:kern w:val="0"/>
                <w:sz w:val="20"/>
                <w:szCs w:val="21"/>
              </w:rPr>
            </w:pPr>
            <w:r>
              <w:rPr>
                <w:rFonts w:ascii="宋体" w:hAnsi="宋体" w:eastAsia="宋体" w:cs="宋体"/>
                <w:spacing w:val="-1"/>
                <w:kern w:val="0"/>
                <w:sz w:val="20"/>
                <w:szCs w:val="21"/>
              </w:rPr>
              <w:t>形式评审</w:t>
            </w:r>
            <w:r>
              <w:rPr>
                <w:rFonts w:ascii="宋体" w:hAnsi="宋体" w:eastAsia="宋体" w:cs="宋体"/>
                <w:kern w:val="0"/>
                <w:sz w:val="20"/>
                <w:szCs w:val="21"/>
              </w:rPr>
              <w:t xml:space="preserve"> </w:t>
            </w:r>
            <w:r>
              <w:rPr>
                <w:rFonts w:ascii="宋体" w:hAnsi="宋体" w:eastAsia="宋体" w:cs="宋体"/>
                <w:spacing w:val="-1"/>
                <w:kern w:val="0"/>
                <w:sz w:val="20"/>
                <w:szCs w:val="21"/>
              </w:rPr>
              <w:t>与响应性</w:t>
            </w:r>
            <w:r>
              <w:rPr>
                <w:rFonts w:ascii="宋体" w:hAnsi="宋体" w:eastAsia="宋体" w:cs="宋体"/>
                <w:kern w:val="0"/>
                <w:sz w:val="20"/>
                <w:szCs w:val="21"/>
              </w:rPr>
              <w:t xml:space="preserve"> </w:t>
            </w:r>
            <w:r>
              <w:rPr>
                <w:rFonts w:ascii="宋体" w:hAnsi="宋体" w:eastAsia="宋体" w:cs="宋体"/>
                <w:spacing w:val="-1"/>
                <w:kern w:val="0"/>
                <w:sz w:val="20"/>
                <w:szCs w:val="21"/>
              </w:rPr>
              <w:t>评审标准</w:t>
            </w:r>
          </w:p>
        </w:tc>
        <w:tc>
          <w:tcPr>
            <w:tcW w:w="743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kern w:val="0"/>
                <w:sz w:val="20"/>
                <w:szCs w:val="21"/>
              </w:rPr>
            </w:pPr>
            <w:r>
              <w:rPr>
                <w:rFonts w:ascii="宋体" w:hAnsi="宋体" w:eastAsia="宋体" w:cs="宋体"/>
                <w:b/>
                <w:bCs/>
                <w:kern w:val="0"/>
                <w:sz w:val="20"/>
                <w:szCs w:val="21"/>
              </w:rPr>
              <w:t>第一个信封（商务及技术文件）评审标准：</w:t>
            </w:r>
          </w:p>
          <w:p>
            <w:pPr>
              <w:spacing w:line="360" w:lineRule="auto"/>
              <w:ind w:left="523"/>
              <w:rPr>
                <w:rFonts w:ascii="宋体" w:hAnsi="宋体" w:eastAsia="宋体" w:cs="宋体"/>
                <w:kern w:val="0"/>
                <w:sz w:val="20"/>
                <w:szCs w:val="21"/>
              </w:rPr>
            </w:pPr>
            <w:r>
              <w:rPr>
                <w:rFonts w:ascii="宋体" w:hAnsi="宋体" w:eastAsia="宋体" w:cs="宋体"/>
                <w:spacing w:val="-3"/>
                <w:kern w:val="0"/>
                <w:sz w:val="20"/>
                <w:szCs w:val="21"/>
              </w:rPr>
              <w:t>（</w:t>
            </w:r>
            <w:r>
              <w:rPr>
                <w:rFonts w:ascii="Times New Roman" w:hAnsi="Times New Roman" w:eastAsia="Times New Roman" w:cs="Times New Roman"/>
                <w:spacing w:val="-3"/>
                <w:kern w:val="0"/>
                <w:sz w:val="20"/>
                <w:szCs w:val="21"/>
              </w:rPr>
              <w:t>1</w:t>
            </w:r>
            <w:r>
              <w:rPr>
                <w:rFonts w:ascii="宋体" w:hAnsi="宋体" w:eastAsia="宋体" w:cs="宋体"/>
                <w:spacing w:val="-3"/>
                <w:kern w:val="0"/>
                <w:sz w:val="20"/>
                <w:szCs w:val="21"/>
              </w:rPr>
              <w:t>）投标文件按照招标文件规定的格式、内容填写，字迹清晰可辨</w:t>
            </w:r>
            <w:r>
              <w:rPr>
                <w:rFonts w:hint="eastAsia" w:ascii="宋体" w:hAnsi="宋体" w:eastAsia="宋体" w:cs="宋体"/>
                <w:spacing w:val="-3"/>
                <w:kern w:val="0"/>
                <w:sz w:val="20"/>
                <w:szCs w:val="21"/>
              </w:rPr>
              <w:t>；</w:t>
            </w:r>
          </w:p>
          <w:p>
            <w:pPr>
              <w:spacing w:line="360" w:lineRule="auto"/>
              <w:ind w:left="103" w:right="101" w:firstLine="420"/>
              <w:rPr>
                <w:rFonts w:ascii="宋体" w:hAnsi="宋体" w:eastAsia="宋体" w:cs="宋体"/>
                <w:kern w:val="0"/>
                <w:sz w:val="20"/>
                <w:szCs w:val="21"/>
              </w:rPr>
            </w:pPr>
            <w:r>
              <w:rPr>
                <w:rFonts w:ascii="Times New Roman" w:hAnsi="Times New Roman" w:eastAsia="Times New Roman" w:cs="Times New Roman"/>
                <w:spacing w:val="-1"/>
                <w:kern w:val="0"/>
                <w:sz w:val="20"/>
                <w:szCs w:val="21"/>
              </w:rPr>
              <w:t>a.</w:t>
            </w:r>
            <w:r>
              <w:rPr>
                <w:rFonts w:ascii="宋体" w:hAnsi="宋体" w:eastAsia="宋体" w:cs="宋体"/>
                <w:spacing w:val="-1"/>
                <w:kern w:val="0"/>
                <w:sz w:val="20"/>
                <w:szCs w:val="21"/>
              </w:rPr>
              <w:t>投标函按招标文件规定填报了项目名称、标段号、补遗书编号（如</w:t>
            </w:r>
            <w:r>
              <w:rPr>
                <w:rFonts w:ascii="宋体" w:hAnsi="宋体" w:eastAsia="宋体" w:cs="宋体"/>
                <w:kern w:val="0"/>
                <w:sz w:val="20"/>
                <w:szCs w:val="21"/>
              </w:rPr>
              <w:t xml:space="preserve"> </w:t>
            </w:r>
            <w:r>
              <w:rPr>
                <w:rFonts w:ascii="宋体" w:hAnsi="宋体" w:eastAsia="宋体" w:cs="宋体"/>
                <w:spacing w:val="-8"/>
                <w:kern w:val="0"/>
                <w:sz w:val="20"/>
                <w:szCs w:val="21"/>
              </w:rPr>
              <w:t>有）、</w:t>
            </w:r>
            <w:r>
              <w:rPr>
                <w:rFonts w:hint="eastAsia" w:ascii="宋体" w:hAnsi="宋体" w:eastAsia="宋体" w:cs="宋体"/>
                <w:spacing w:val="-8"/>
                <w:kern w:val="0"/>
                <w:sz w:val="20"/>
                <w:szCs w:val="21"/>
              </w:rPr>
              <w:t>监理服务期限</w:t>
            </w:r>
            <w:r>
              <w:rPr>
                <w:rFonts w:ascii="宋体" w:hAnsi="宋体" w:eastAsia="宋体" w:cs="宋体"/>
                <w:spacing w:val="-8"/>
                <w:kern w:val="0"/>
                <w:sz w:val="20"/>
                <w:szCs w:val="21"/>
              </w:rPr>
              <w:t>、工程质量要求及安全目标；</w:t>
            </w:r>
          </w:p>
          <w:p>
            <w:pPr>
              <w:spacing w:line="360" w:lineRule="auto"/>
              <w:ind w:left="523" w:right="2007"/>
              <w:rPr>
                <w:rFonts w:ascii="宋体" w:hAnsi="宋体" w:eastAsia="宋体" w:cs="宋体"/>
                <w:kern w:val="0"/>
                <w:sz w:val="20"/>
                <w:szCs w:val="21"/>
              </w:rPr>
            </w:pPr>
            <w:r>
              <w:rPr>
                <w:rFonts w:ascii="Times New Roman" w:hAnsi="Times New Roman" w:eastAsia="Times New Roman" w:cs="Times New Roman"/>
                <w:spacing w:val="-2"/>
                <w:kern w:val="0"/>
                <w:sz w:val="20"/>
                <w:szCs w:val="21"/>
              </w:rPr>
              <w:t>b.</w:t>
            </w:r>
            <w:r>
              <w:rPr>
                <w:rFonts w:hint="eastAsia" w:ascii="宋体" w:hAnsi="宋体" w:eastAsia="宋体" w:cs="宋体"/>
                <w:spacing w:val="-2"/>
                <w:kern w:val="0"/>
                <w:sz w:val="20"/>
                <w:szCs w:val="21"/>
              </w:rPr>
              <w:t>投标文件组成齐全完整，内容均按规定填写</w:t>
            </w:r>
            <w:r>
              <w:rPr>
                <w:rFonts w:ascii="宋体" w:hAnsi="宋体" w:eastAsia="宋体" w:cs="宋体"/>
                <w:spacing w:val="-2"/>
                <w:kern w:val="0"/>
                <w:sz w:val="20"/>
                <w:szCs w:val="21"/>
              </w:rPr>
              <w:t>；</w:t>
            </w:r>
          </w:p>
          <w:p>
            <w:pPr>
              <w:spacing w:line="360" w:lineRule="auto"/>
              <w:ind w:left="103" w:right="105" w:firstLine="420"/>
              <w:rPr>
                <w:rFonts w:ascii="宋体" w:hAnsi="宋体" w:eastAsia="宋体" w:cs="宋体"/>
                <w:kern w:val="0"/>
                <w:sz w:val="20"/>
                <w:szCs w:val="21"/>
              </w:rPr>
            </w:pPr>
            <w:r>
              <w:rPr>
                <w:rFonts w:ascii="宋体" w:hAnsi="宋体" w:eastAsia="宋体" w:cs="宋体"/>
                <w:kern w:val="0"/>
                <w:sz w:val="20"/>
                <w:szCs w:val="21"/>
              </w:rPr>
              <w:t>（</w:t>
            </w:r>
            <w:r>
              <w:rPr>
                <w:rFonts w:ascii="Times New Roman" w:hAnsi="Times New Roman" w:eastAsia="Times New Roman" w:cs="Times New Roman"/>
                <w:kern w:val="0"/>
                <w:sz w:val="20"/>
                <w:szCs w:val="21"/>
              </w:rPr>
              <w:t>2</w:t>
            </w:r>
            <w:r>
              <w:rPr>
                <w:rFonts w:ascii="宋体" w:hAnsi="宋体" w:eastAsia="宋体" w:cs="宋体"/>
                <w:kern w:val="0"/>
                <w:sz w:val="20"/>
                <w:szCs w:val="21"/>
              </w:rPr>
              <w:t>）投标文件上法定代表人或其委托代理人的签字、投标人的单位 章盖章齐全，符合招标文件规定。</w:t>
            </w:r>
          </w:p>
          <w:p>
            <w:pPr>
              <w:spacing w:line="360" w:lineRule="auto"/>
              <w:ind w:left="103" w:right="101" w:firstLine="420"/>
              <w:rPr>
                <w:rFonts w:ascii="宋体" w:hAnsi="宋体" w:eastAsia="宋体" w:cs="宋体"/>
                <w:kern w:val="0"/>
                <w:sz w:val="20"/>
                <w:szCs w:val="21"/>
              </w:rPr>
            </w:pPr>
            <w:r>
              <w:rPr>
                <w:rFonts w:ascii="宋体" w:hAnsi="宋体" w:eastAsia="宋体" w:cs="宋体"/>
                <w:kern w:val="0"/>
                <w:sz w:val="20"/>
                <w:szCs w:val="21"/>
              </w:rPr>
              <w:t>（</w:t>
            </w:r>
            <w:r>
              <w:rPr>
                <w:rFonts w:ascii="Times New Roman" w:hAnsi="Times New Roman" w:eastAsia="Times New Roman" w:cs="Times New Roman"/>
                <w:kern w:val="0"/>
                <w:sz w:val="20"/>
                <w:szCs w:val="21"/>
              </w:rPr>
              <w:t>3</w:t>
            </w:r>
            <w:r>
              <w:rPr>
                <w:rFonts w:ascii="宋体" w:hAnsi="宋体" w:eastAsia="宋体" w:cs="宋体"/>
                <w:kern w:val="0"/>
                <w:sz w:val="20"/>
                <w:szCs w:val="21"/>
              </w:rPr>
              <w:t xml:space="preserve">）与申请资格预审时比较，投标人发生合并、分立、破产等重大 </w:t>
            </w:r>
            <w:r>
              <w:rPr>
                <w:rFonts w:ascii="宋体" w:hAnsi="宋体" w:eastAsia="宋体" w:cs="宋体"/>
                <w:spacing w:val="-3"/>
                <w:kern w:val="0"/>
                <w:sz w:val="20"/>
                <w:szCs w:val="21"/>
              </w:rPr>
              <w:t xml:space="preserve">变化的，仍具备资格预审文件规定的相应资格条件且其投标未影响招标公 </w:t>
            </w:r>
            <w:r>
              <w:rPr>
                <w:rFonts w:ascii="宋体" w:hAnsi="宋体" w:eastAsia="宋体" w:cs="宋体"/>
                <w:kern w:val="0"/>
                <w:sz w:val="20"/>
                <w:szCs w:val="21"/>
              </w:rPr>
              <w:t>正性</w:t>
            </w:r>
            <w:r>
              <w:rPr>
                <w:rFonts w:hint="eastAsia" w:ascii="宋体" w:hAnsi="宋体" w:eastAsia="宋体" w:cs="宋体"/>
                <w:kern w:val="0"/>
                <w:sz w:val="20"/>
                <w:szCs w:val="21"/>
              </w:rPr>
              <w:t>；</w:t>
            </w:r>
          </w:p>
          <w:p>
            <w:pPr>
              <w:spacing w:line="360" w:lineRule="auto"/>
              <w:ind w:left="103" w:right="102" w:firstLine="420"/>
              <w:rPr>
                <w:rFonts w:ascii="宋体" w:hAnsi="宋体" w:eastAsia="宋体" w:cs="宋体"/>
                <w:kern w:val="0"/>
                <w:sz w:val="20"/>
                <w:szCs w:val="21"/>
              </w:rPr>
            </w:pPr>
            <w:r>
              <w:rPr>
                <w:rFonts w:ascii="Times New Roman" w:hAnsi="Times New Roman" w:eastAsia="Times New Roman" w:cs="Times New Roman"/>
                <w:spacing w:val="-1"/>
                <w:kern w:val="0"/>
                <w:sz w:val="20"/>
                <w:szCs w:val="21"/>
              </w:rPr>
              <w:t>a.</w:t>
            </w:r>
            <w:r>
              <w:rPr>
                <w:rFonts w:ascii="宋体" w:hAnsi="宋体" w:eastAsia="宋体" w:cs="宋体"/>
                <w:spacing w:val="-1"/>
                <w:kern w:val="0"/>
                <w:sz w:val="20"/>
                <w:szCs w:val="21"/>
              </w:rPr>
              <w:t>投标人应提供相关部门的合法批件及企业法人营业执照和资质证书</w:t>
            </w:r>
            <w:r>
              <w:rPr>
                <w:rFonts w:ascii="宋体" w:hAnsi="宋体" w:eastAsia="宋体" w:cs="宋体"/>
                <w:kern w:val="0"/>
                <w:sz w:val="20"/>
                <w:szCs w:val="21"/>
              </w:rPr>
              <w:t xml:space="preserve"> 等证件的副本变更记录复印件；</w:t>
            </w:r>
          </w:p>
          <w:p>
            <w:pPr>
              <w:spacing w:line="360" w:lineRule="auto"/>
              <w:ind w:left="103" w:right="101" w:firstLine="420"/>
              <w:rPr>
                <w:rFonts w:ascii="宋体" w:hAnsi="宋体" w:eastAsia="宋体" w:cs="宋体"/>
                <w:kern w:val="0"/>
                <w:sz w:val="20"/>
                <w:szCs w:val="21"/>
              </w:rPr>
            </w:pPr>
            <w:r>
              <w:rPr>
                <w:rFonts w:ascii="Times New Roman" w:hAnsi="Times New Roman" w:eastAsia="Times New Roman" w:cs="Times New Roman"/>
                <w:spacing w:val="-1"/>
                <w:kern w:val="0"/>
                <w:sz w:val="20"/>
                <w:szCs w:val="21"/>
              </w:rPr>
              <w:t>b.</w:t>
            </w:r>
            <w:r>
              <w:rPr>
                <w:rFonts w:ascii="宋体" w:hAnsi="宋体" w:eastAsia="宋体" w:cs="宋体"/>
                <w:spacing w:val="-1"/>
                <w:kern w:val="0"/>
                <w:sz w:val="20"/>
                <w:szCs w:val="21"/>
              </w:rPr>
              <w:t>投标人仍然满足资格预审文件中规定的资格预审条件最低要求（资</w:t>
            </w:r>
            <w:r>
              <w:rPr>
                <w:rFonts w:ascii="宋体" w:hAnsi="宋体" w:eastAsia="宋体" w:cs="宋体"/>
                <w:kern w:val="0"/>
                <w:sz w:val="20"/>
                <w:szCs w:val="21"/>
              </w:rPr>
              <w:t xml:space="preserve"> </w:t>
            </w:r>
            <w:r>
              <w:rPr>
                <w:rFonts w:ascii="宋体" w:hAnsi="宋体" w:eastAsia="宋体" w:cs="宋体"/>
                <w:spacing w:val="-8"/>
                <w:kern w:val="0"/>
                <w:sz w:val="20"/>
                <w:szCs w:val="21"/>
              </w:rPr>
              <w:t>质、业绩、人员、信誉、财务等）；</w:t>
            </w:r>
          </w:p>
          <w:p>
            <w:pPr>
              <w:spacing w:line="360" w:lineRule="auto"/>
              <w:ind w:left="103" w:right="102" w:firstLine="420"/>
              <w:rPr>
                <w:rFonts w:ascii="宋体" w:hAnsi="宋体" w:eastAsia="宋体" w:cs="宋体"/>
                <w:kern w:val="0"/>
                <w:sz w:val="20"/>
                <w:szCs w:val="21"/>
              </w:rPr>
            </w:pPr>
            <w:r>
              <w:rPr>
                <w:rFonts w:ascii="Times New Roman" w:hAnsi="Times New Roman" w:eastAsia="Times New Roman" w:cs="Times New Roman"/>
                <w:spacing w:val="-1"/>
                <w:kern w:val="0"/>
                <w:sz w:val="20"/>
                <w:szCs w:val="21"/>
              </w:rPr>
              <w:t>c.</w:t>
            </w:r>
            <w:r>
              <w:rPr>
                <w:rFonts w:ascii="宋体" w:hAnsi="宋体" w:eastAsia="宋体" w:cs="宋体"/>
                <w:spacing w:val="-1"/>
                <w:kern w:val="0"/>
                <w:sz w:val="20"/>
                <w:szCs w:val="21"/>
              </w:rPr>
              <w:t>与所投标段的其他投标人不存在控股、管理关系或单位负责人为同</w:t>
            </w:r>
            <w:r>
              <w:rPr>
                <w:rFonts w:ascii="宋体" w:hAnsi="宋体" w:eastAsia="宋体" w:cs="宋体"/>
                <w:kern w:val="0"/>
                <w:sz w:val="20"/>
                <w:szCs w:val="21"/>
              </w:rPr>
              <w:t xml:space="preserve"> 一人的情况；与招标人也不存在利害关系并可能影响招标公正性。</w:t>
            </w:r>
          </w:p>
          <w:p>
            <w:pPr>
              <w:spacing w:line="360" w:lineRule="auto"/>
              <w:ind w:left="523"/>
              <w:rPr>
                <w:rFonts w:ascii="宋体" w:hAnsi="宋体" w:eastAsia="宋体" w:cs="宋体"/>
                <w:kern w:val="0"/>
                <w:sz w:val="20"/>
                <w:szCs w:val="21"/>
              </w:rPr>
            </w:pPr>
            <w:r>
              <w:rPr>
                <w:rFonts w:ascii="宋体" w:hAnsi="宋体" w:eastAsia="宋体" w:cs="宋体"/>
                <w:kern w:val="0"/>
                <w:sz w:val="20"/>
                <w:szCs w:val="21"/>
              </w:rPr>
              <w:t>（</w:t>
            </w:r>
            <w:r>
              <w:rPr>
                <w:rFonts w:ascii="Times New Roman" w:hAnsi="Times New Roman" w:eastAsia="Times New Roman" w:cs="Times New Roman"/>
                <w:kern w:val="0"/>
                <w:sz w:val="20"/>
                <w:szCs w:val="21"/>
              </w:rPr>
              <w:t>4</w:t>
            </w:r>
            <w:r>
              <w:rPr>
                <w:rFonts w:ascii="宋体" w:hAnsi="宋体" w:eastAsia="宋体" w:cs="宋体"/>
                <w:kern w:val="0"/>
                <w:sz w:val="20"/>
                <w:szCs w:val="21"/>
              </w:rPr>
              <w:t>）投标人按照招标文件的规定提供了投标保证金</w:t>
            </w:r>
            <w:r>
              <w:rPr>
                <w:rFonts w:hint="eastAsia" w:ascii="宋体" w:hAnsi="宋体" w:eastAsia="宋体" w:cs="宋体"/>
                <w:kern w:val="0"/>
                <w:sz w:val="20"/>
                <w:szCs w:val="21"/>
              </w:rPr>
              <w:t>；</w:t>
            </w:r>
          </w:p>
          <w:p>
            <w:pPr>
              <w:spacing w:line="360" w:lineRule="auto"/>
              <w:ind w:left="103" w:right="105" w:firstLine="384"/>
              <w:rPr>
                <w:rFonts w:ascii="宋体" w:hAnsi="宋体" w:eastAsia="宋体" w:cs="宋体"/>
                <w:kern w:val="0"/>
                <w:sz w:val="20"/>
                <w:szCs w:val="21"/>
              </w:rPr>
            </w:pPr>
            <w:r>
              <w:rPr>
                <w:rFonts w:ascii="Times New Roman" w:hAnsi="Times New Roman" w:eastAsia="Times New Roman" w:cs="Times New Roman"/>
                <w:kern w:val="0"/>
                <w:sz w:val="20"/>
                <w:szCs w:val="21"/>
              </w:rPr>
              <w:t>a.</w:t>
            </w:r>
            <w:r>
              <w:rPr>
                <w:rFonts w:ascii="宋体" w:hAnsi="宋体" w:eastAsia="宋体" w:cs="宋体"/>
                <w:kern w:val="0"/>
                <w:sz w:val="20"/>
                <w:szCs w:val="21"/>
              </w:rPr>
              <w:t>投标保证金金额符合招标文件规定的金额，且投标保证金有效期不 少于投标有效期；</w:t>
            </w:r>
          </w:p>
          <w:p>
            <w:pPr>
              <w:spacing w:line="360" w:lineRule="auto"/>
              <w:ind w:right="102" w:firstLine="396" w:firstLineChars="200"/>
              <w:rPr>
                <w:rFonts w:ascii="宋体" w:hAnsi="宋体" w:eastAsia="宋体" w:cs="宋体"/>
                <w:spacing w:val="-1"/>
                <w:kern w:val="0"/>
                <w:sz w:val="20"/>
                <w:szCs w:val="21"/>
              </w:rPr>
            </w:pPr>
            <w:r>
              <w:rPr>
                <w:rFonts w:ascii="宋体" w:hAnsi="宋体" w:eastAsia="宋体" w:cs="宋体"/>
                <w:spacing w:val="-1"/>
                <w:kern w:val="0"/>
                <w:sz w:val="20"/>
                <w:szCs w:val="21"/>
              </w:rPr>
              <w:t>b</w:t>
            </w:r>
            <w:r>
              <w:rPr>
                <w:rFonts w:hint="eastAsia" w:ascii="宋体" w:hAnsi="宋体" w:eastAsia="宋体" w:cs="宋体"/>
                <w:spacing w:val="-1"/>
                <w:kern w:val="0"/>
                <w:sz w:val="20"/>
                <w:szCs w:val="21"/>
              </w:rPr>
              <w:t>.</w:t>
            </w:r>
            <w:r>
              <w:rPr>
                <w:rFonts w:ascii="宋体" w:hAnsi="宋体" w:eastAsia="宋体" w:cs="宋体"/>
                <w:spacing w:val="-1"/>
                <w:kern w:val="0"/>
                <w:sz w:val="20"/>
                <w:szCs w:val="21"/>
              </w:rPr>
              <w:t>若投标保证金采用现金或支票形式提交，投标人应在递交投标文件截止</w:t>
            </w:r>
            <w:r>
              <w:rPr>
                <w:rFonts w:ascii="宋体" w:hAnsi="宋体" w:eastAsia="宋体" w:cs="宋体"/>
                <w:kern w:val="0"/>
                <w:sz w:val="20"/>
                <w:szCs w:val="21"/>
              </w:rPr>
              <w:t>时间之前</w:t>
            </w:r>
            <w:r>
              <w:rPr>
                <w:rFonts w:ascii="宋体" w:hAnsi="宋体" w:eastAsia="宋体" w:cs="宋体"/>
                <w:spacing w:val="-1"/>
                <w:kern w:val="0"/>
                <w:sz w:val="20"/>
                <w:szCs w:val="21"/>
              </w:rPr>
              <w:t>，将投标保证金由投标人的基本账户转入招标人指定账户：</w:t>
            </w:r>
          </w:p>
          <w:p>
            <w:pPr>
              <w:spacing w:line="360" w:lineRule="auto"/>
              <w:ind w:right="102" w:firstLine="396" w:firstLineChars="200"/>
              <w:rPr>
                <w:rFonts w:ascii="宋体" w:hAnsi="宋体" w:eastAsia="宋体" w:cs="宋体"/>
                <w:kern w:val="0"/>
                <w:sz w:val="20"/>
                <w:szCs w:val="21"/>
              </w:rPr>
            </w:pPr>
            <w:r>
              <w:rPr>
                <w:rFonts w:hint="eastAsia" w:ascii="宋体" w:hAnsi="宋体" w:eastAsia="宋体" w:cs="宋体"/>
                <w:spacing w:val="-1"/>
                <w:kern w:val="0"/>
                <w:sz w:val="20"/>
                <w:szCs w:val="21"/>
              </w:rPr>
              <w:t>c</w:t>
            </w:r>
            <w:r>
              <w:rPr>
                <w:rFonts w:ascii="宋体" w:hAnsi="宋体" w:eastAsia="宋体" w:cs="宋体"/>
                <w:spacing w:val="-1"/>
                <w:kern w:val="0"/>
                <w:sz w:val="20"/>
                <w:szCs w:val="21"/>
              </w:rPr>
              <w:t>.若投标保证金采用银行保函形式提交，银行保函的格式、开具保函的银行均满足招标文件要求，且在递交投标文件截止时间之前向招标人提交了银行保函原件。</w:t>
            </w:r>
          </w:p>
        </w:tc>
      </w:tr>
    </w:tbl>
    <w:p>
      <w:pPr>
        <w:spacing w:line="326" w:lineRule="auto"/>
        <w:jc w:val="left"/>
        <w:rPr>
          <w:rFonts w:ascii="宋体" w:hAnsi="宋体" w:eastAsia="宋体" w:cs="宋体"/>
          <w:kern w:val="0"/>
          <w:sz w:val="17"/>
          <w:szCs w:val="17"/>
        </w:rPr>
        <w:sectPr>
          <w:pgSz w:w="11910" w:h="16840"/>
          <w:pgMar w:top="1580" w:right="1260" w:bottom="280" w:left="1420" w:header="720" w:footer="720" w:gutter="0"/>
          <w:cols w:space="720" w:num="1"/>
        </w:sectPr>
      </w:pPr>
    </w:p>
    <w:p>
      <w:pPr>
        <w:spacing w:before="4"/>
        <w:jc w:val="left"/>
        <w:rPr>
          <w:rFonts w:ascii="宋体" w:hAnsi="宋体" w:eastAsia="宋体" w:cs="宋体"/>
          <w:kern w:val="0"/>
          <w:sz w:val="15"/>
          <w:szCs w:val="15"/>
        </w:rPr>
      </w:pPr>
    </w:p>
    <w:p>
      <w:pPr>
        <w:spacing w:before="38"/>
        <w:ind w:right="270"/>
        <w:jc w:val="right"/>
        <w:rPr>
          <w:rFonts w:ascii="宋体" w:hAnsi="宋体" w:eastAsia="宋体" w:cs="宋体"/>
          <w:kern w:val="0"/>
          <w:sz w:val="20"/>
          <w:szCs w:val="20"/>
          <w:lang w:eastAsia="en-US"/>
        </w:rPr>
      </w:pPr>
      <w:r>
        <w:rPr>
          <w:rFonts w:ascii="宋体" w:hAnsi="宋体" w:eastAsia="宋体" w:cs="宋体"/>
          <w:w w:val="105"/>
          <w:kern w:val="0"/>
          <w:sz w:val="20"/>
          <w:szCs w:val="20"/>
          <w:lang w:eastAsia="en-US"/>
        </w:rPr>
        <w:t>续上表</w:t>
      </w:r>
    </w:p>
    <w:tbl>
      <w:tblPr>
        <w:tblStyle w:val="16"/>
        <w:tblpPr w:leftFromText="180" w:rightFromText="180" w:vertAnchor="text" w:horzAnchor="page" w:tblpX="1579" w:tblpY="36"/>
        <w:tblOverlap w:val="never"/>
        <w:tblW w:w="8960" w:type="dxa"/>
        <w:tblInd w:w="0" w:type="dxa"/>
        <w:tblLayout w:type="fixed"/>
        <w:tblCellMar>
          <w:top w:w="0" w:type="dxa"/>
          <w:left w:w="0" w:type="dxa"/>
          <w:bottom w:w="0" w:type="dxa"/>
          <w:right w:w="0" w:type="dxa"/>
        </w:tblCellMar>
      </w:tblPr>
      <w:tblGrid>
        <w:gridCol w:w="997"/>
        <w:gridCol w:w="1288"/>
        <w:gridCol w:w="6675"/>
      </w:tblGrid>
      <w:tr>
        <w:tblPrEx>
          <w:tblLayout w:type="fixed"/>
          <w:tblCellMar>
            <w:top w:w="0" w:type="dxa"/>
            <w:left w:w="0" w:type="dxa"/>
            <w:bottom w:w="0" w:type="dxa"/>
            <w:right w:w="0" w:type="dxa"/>
          </w:tblCellMar>
        </w:tblPrEx>
        <w:trPr>
          <w:trHeight w:val="470" w:hRule="exact"/>
        </w:trPr>
        <w:tc>
          <w:tcPr>
            <w:tcW w:w="2285" w:type="dxa"/>
            <w:gridSpan w:val="2"/>
            <w:tcBorders>
              <w:top w:val="single" w:color="000000" w:sz="4" w:space="0"/>
              <w:left w:val="single" w:color="000000" w:sz="4" w:space="0"/>
              <w:bottom w:val="single" w:color="000000" w:sz="4" w:space="0"/>
              <w:right w:val="single" w:color="000000" w:sz="4" w:space="0"/>
            </w:tcBorders>
          </w:tcPr>
          <w:p>
            <w:pPr>
              <w:spacing w:before="90"/>
              <w:ind w:left="8"/>
              <w:jc w:val="center"/>
              <w:rPr>
                <w:rFonts w:ascii="宋体" w:hAnsi="宋体" w:eastAsia="宋体" w:cs="宋体"/>
                <w:kern w:val="0"/>
                <w:sz w:val="20"/>
                <w:szCs w:val="20"/>
                <w:lang w:eastAsia="en-US"/>
              </w:rPr>
            </w:pPr>
            <w:r>
              <w:rPr>
                <w:rFonts w:ascii="宋体" w:hAnsi="宋体" w:eastAsia="宋体" w:cs="宋体"/>
                <w:kern w:val="0"/>
                <w:sz w:val="20"/>
                <w:szCs w:val="20"/>
                <w:lang w:eastAsia="en-US"/>
              </w:rPr>
              <w:t>条款号</w:t>
            </w:r>
          </w:p>
        </w:tc>
        <w:tc>
          <w:tcPr>
            <w:tcW w:w="6675" w:type="dxa"/>
            <w:tcBorders>
              <w:top w:val="single" w:color="000000" w:sz="4" w:space="0"/>
              <w:left w:val="single" w:color="000000" w:sz="4" w:space="0"/>
              <w:bottom w:val="single" w:color="000000" w:sz="4" w:space="0"/>
              <w:right w:val="single" w:color="000000" w:sz="4" w:space="0"/>
            </w:tcBorders>
          </w:tcPr>
          <w:p>
            <w:pPr>
              <w:spacing w:before="90"/>
              <w:ind w:right="19"/>
              <w:jc w:val="center"/>
              <w:rPr>
                <w:rFonts w:ascii="宋体" w:hAnsi="宋体" w:eastAsia="宋体" w:cs="宋体"/>
                <w:kern w:val="0"/>
                <w:sz w:val="20"/>
                <w:szCs w:val="20"/>
                <w:lang w:eastAsia="en-US"/>
              </w:rPr>
            </w:pPr>
            <w:r>
              <w:rPr>
                <w:rFonts w:ascii="宋体" w:hAnsi="宋体" w:eastAsia="宋体" w:cs="宋体"/>
                <w:kern w:val="0"/>
                <w:sz w:val="20"/>
                <w:szCs w:val="20"/>
                <w:lang w:eastAsia="en-US"/>
              </w:rPr>
              <w:t>评审因素与评审标准</w:t>
            </w:r>
          </w:p>
        </w:tc>
      </w:tr>
      <w:tr>
        <w:tblPrEx>
          <w:tblLayout w:type="fixed"/>
          <w:tblCellMar>
            <w:top w:w="0" w:type="dxa"/>
            <w:left w:w="0" w:type="dxa"/>
            <w:bottom w:w="0" w:type="dxa"/>
            <w:right w:w="0" w:type="dxa"/>
          </w:tblCellMar>
        </w:tblPrEx>
        <w:trPr>
          <w:trHeight w:val="12589" w:hRule="exact"/>
        </w:trPr>
        <w:tc>
          <w:tcPr>
            <w:tcW w:w="997" w:type="dxa"/>
            <w:tcBorders>
              <w:top w:val="single" w:color="000000" w:sz="4" w:space="0"/>
              <w:left w:val="single" w:color="000000" w:sz="4" w:space="0"/>
              <w:bottom w:val="single" w:color="auto" w:sz="4" w:space="0"/>
              <w:right w:val="single" w:color="000000" w:sz="4" w:space="0"/>
            </w:tcBorders>
            <w:vAlign w:val="center"/>
          </w:tcPr>
          <w:p>
            <w:pPr>
              <w:spacing w:before="146"/>
              <w:ind w:left="280"/>
              <w:jc w:val="center"/>
              <w:rPr>
                <w:rFonts w:ascii="Times New Roman" w:hAnsi="Times New Roman" w:eastAsia="Times New Roman" w:cs="Times New Roman"/>
                <w:kern w:val="0"/>
                <w:sz w:val="20"/>
                <w:szCs w:val="20"/>
                <w:lang w:eastAsia="en-US"/>
              </w:rPr>
            </w:pPr>
            <w:r>
              <w:rPr>
                <w:rFonts w:ascii="Times New Roman" w:hAnsi="Calibri" w:eastAsia="宋体" w:cs="Times New Roman"/>
                <w:kern w:val="0"/>
                <w:sz w:val="20"/>
                <w:szCs w:val="20"/>
                <w:lang w:eastAsia="en-US"/>
              </w:rPr>
              <w:t>2.1.1</w:t>
            </w:r>
          </w:p>
          <w:p>
            <w:pPr>
              <w:spacing w:before="120"/>
              <w:ind w:left="280"/>
              <w:jc w:val="center"/>
              <w:rPr>
                <w:rFonts w:ascii="Times New Roman" w:hAnsi="Times New Roman" w:eastAsia="Times New Roman" w:cs="Times New Roman"/>
                <w:kern w:val="0"/>
                <w:sz w:val="20"/>
                <w:szCs w:val="20"/>
                <w:lang w:eastAsia="en-US"/>
              </w:rPr>
            </w:pPr>
            <w:r>
              <w:rPr>
                <w:rFonts w:ascii="Times New Roman" w:hAnsi="Calibri" w:eastAsia="宋体" w:cs="Times New Roman"/>
                <w:kern w:val="0"/>
                <w:sz w:val="20"/>
                <w:szCs w:val="20"/>
                <w:lang w:eastAsia="en-US"/>
              </w:rPr>
              <w:t>2.1.3</w:t>
            </w:r>
          </w:p>
        </w:tc>
        <w:tc>
          <w:tcPr>
            <w:tcW w:w="1288" w:type="dxa"/>
            <w:tcBorders>
              <w:top w:val="single" w:color="000000" w:sz="4" w:space="0"/>
              <w:left w:val="single" w:color="000000" w:sz="4" w:space="0"/>
              <w:bottom w:val="single" w:color="auto" w:sz="4" w:space="0"/>
              <w:right w:val="single" w:color="000000" w:sz="4" w:space="0"/>
            </w:tcBorders>
            <w:vAlign w:val="center"/>
          </w:tcPr>
          <w:p>
            <w:pPr>
              <w:spacing w:before="178" w:line="321" w:lineRule="auto"/>
              <w:ind w:left="112" w:right="92" w:hanging="20"/>
              <w:jc w:val="center"/>
              <w:rPr>
                <w:rFonts w:ascii="宋体" w:hAnsi="宋体" w:eastAsia="宋体" w:cs="宋体"/>
                <w:kern w:val="0"/>
                <w:sz w:val="20"/>
                <w:szCs w:val="20"/>
              </w:rPr>
            </w:pPr>
            <w:r>
              <w:rPr>
                <w:rFonts w:ascii="宋体" w:hAnsi="宋体" w:eastAsia="宋体" w:cs="宋体"/>
                <w:kern w:val="0"/>
                <w:sz w:val="20"/>
                <w:szCs w:val="20"/>
              </w:rPr>
              <w:t>形式评审与响应性评审标准</w:t>
            </w:r>
          </w:p>
        </w:tc>
        <w:tc>
          <w:tcPr>
            <w:tcW w:w="6675" w:type="dxa"/>
            <w:tcBorders>
              <w:top w:val="single" w:color="000000" w:sz="4" w:space="0"/>
              <w:left w:val="single" w:color="000000" w:sz="4" w:space="0"/>
              <w:bottom w:val="single" w:color="auto" w:sz="4" w:space="0"/>
              <w:right w:val="single" w:color="000000" w:sz="4" w:space="0"/>
            </w:tcBorders>
          </w:tcPr>
          <w:p>
            <w:pPr>
              <w:spacing w:before="34" w:line="360" w:lineRule="auto"/>
              <w:ind w:right="102" w:firstLine="396" w:firstLineChars="200"/>
              <w:rPr>
                <w:rFonts w:ascii="宋体" w:hAnsi="宋体" w:eastAsia="宋体" w:cs="宋体"/>
                <w:spacing w:val="-1"/>
                <w:kern w:val="0"/>
                <w:sz w:val="20"/>
                <w:szCs w:val="21"/>
              </w:rPr>
            </w:pPr>
            <w:r>
              <w:rPr>
                <w:rFonts w:ascii="宋体" w:hAnsi="宋体" w:eastAsia="宋体" w:cs="宋体"/>
                <w:spacing w:val="-1"/>
                <w:kern w:val="0"/>
                <w:sz w:val="20"/>
                <w:szCs w:val="21"/>
              </w:rPr>
              <w:t>(5）投标人法定代表人授权委托代理人签署投标文件的，须提交授权委托书，且授权人和被授权人均在授权委托书上签名，未使用印章签名章或其他电子制版签名代替。</w:t>
            </w:r>
          </w:p>
          <w:p>
            <w:pPr>
              <w:spacing w:before="34" w:line="360" w:lineRule="auto"/>
              <w:ind w:right="102" w:firstLine="396" w:firstLineChars="200"/>
              <w:rPr>
                <w:rFonts w:ascii="宋体" w:hAnsi="宋体" w:eastAsia="宋体" w:cs="宋体"/>
                <w:spacing w:val="-1"/>
                <w:kern w:val="0"/>
                <w:sz w:val="20"/>
                <w:szCs w:val="21"/>
              </w:rPr>
            </w:pPr>
            <w:r>
              <w:rPr>
                <w:rFonts w:ascii="宋体" w:hAnsi="宋体" w:eastAsia="宋体" w:cs="宋体"/>
                <w:spacing w:val="-1"/>
                <w:kern w:val="0"/>
                <w:sz w:val="20"/>
                <w:szCs w:val="21"/>
              </w:rPr>
              <w:t>(6）投标人法定代表人亲自签署投标文件的，提供了法定代表人身份证明，且法定代表人在法定代表人身份证明上签名，未使用印章签名章或其他电子版签名代替</w:t>
            </w:r>
            <w:r>
              <w:rPr>
                <w:rFonts w:hint="eastAsia" w:ascii="宋体" w:hAnsi="宋体" w:eastAsia="宋体" w:cs="宋体"/>
                <w:spacing w:val="-1"/>
                <w:kern w:val="0"/>
                <w:sz w:val="20"/>
                <w:szCs w:val="21"/>
              </w:rPr>
              <w:t>。</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(7）投标人以联合体形式投标时，联合体满足招标文件的要求：</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a.未进行资格预审的，投标人按照招标文件提供的格式签订了联合体协议书，明确各方承担连带责任，并明确了联合体牵头人</w:t>
            </w:r>
            <w:r>
              <w:rPr>
                <w:rFonts w:hint="eastAsia" w:ascii="宋体" w:hAnsi="宋体" w:eastAsia="宋体" w:cs="宋体"/>
                <w:spacing w:val="-1"/>
                <w:kern w:val="0"/>
                <w:sz w:val="20"/>
                <w:szCs w:val="21"/>
              </w:rPr>
              <w:t>；</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b.己进行资格预审的，投标人提供了资格预审申请文件中所附的联合体协议书复印件，且通过资格预审后的联合体无成员增减或更换的情况。</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w:t>
            </w:r>
            <w:r>
              <w:rPr>
                <w:rFonts w:hint="eastAsia" w:ascii="宋体" w:hAnsi="宋体" w:eastAsia="宋体" w:cs="宋体"/>
                <w:spacing w:val="-1"/>
                <w:kern w:val="0"/>
                <w:sz w:val="20"/>
                <w:szCs w:val="21"/>
              </w:rPr>
              <w:t>8</w:t>
            </w:r>
            <w:r>
              <w:rPr>
                <w:rFonts w:ascii="宋体" w:hAnsi="宋体" w:eastAsia="宋体" w:cs="宋体"/>
                <w:spacing w:val="-1"/>
                <w:kern w:val="0"/>
                <w:sz w:val="20"/>
                <w:szCs w:val="21"/>
              </w:rPr>
              <w:t>）同一投标人未提交两个以上不同的投标文件，但招标文件要求提交备选投标的除外 。</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w:t>
            </w:r>
            <w:r>
              <w:rPr>
                <w:rFonts w:hint="eastAsia" w:ascii="宋体" w:hAnsi="宋体" w:eastAsia="宋体" w:cs="宋体"/>
                <w:spacing w:val="-1"/>
                <w:kern w:val="0"/>
                <w:sz w:val="20"/>
                <w:szCs w:val="21"/>
              </w:rPr>
              <w:t>9</w:t>
            </w:r>
            <w:r>
              <w:rPr>
                <w:rFonts w:ascii="宋体" w:hAnsi="宋体" w:eastAsia="宋体" w:cs="宋体"/>
                <w:spacing w:val="-1"/>
                <w:kern w:val="0"/>
                <w:sz w:val="20"/>
                <w:szCs w:val="21"/>
              </w:rPr>
              <w:t>）投标文件中未出现有关投标报价的内容。</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w:t>
            </w:r>
            <w:r>
              <w:rPr>
                <w:rFonts w:hint="eastAsia" w:ascii="宋体" w:hAnsi="宋体" w:eastAsia="宋体" w:cs="宋体"/>
                <w:spacing w:val="-1"/>
                <w:kern w:val="0"/>
                <w:sz w:val="20"/>
                <w:szCs w:val="21"/>
              </w:rPr>
              <w:t>10</w:t>
            </w:r>
            <w:r>
              <w:rPr>
                <w:rFonts w:ascii="宋体" w:hAnsi="宋体" w:eastAsia="宋体" w:cs="宋体"/>
                <w:spacing w:val="-1"/>
                <w:kern w:val="0"/>
                <w:sz w:val="20"/>
                <w:szCs w:val="21"/>
              </w:rPr>
              <w:t>）投标文件载明的招标项目完成期限未超过招标文件规定的时限。</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w:t>
            </w:r>
            <w:r>
              <w:rPr>
                <w:rFonts w:hint="eastAsia" w:ascii="宋体" w:hAnsi="宋体" w:eastAsia="宋体" w:cs="宋体"/>
                <w:spacing w:val="-1"/>
                <w:kern w:val="0"/>
                <w:sz w:val="20"/>
                <w:szCs w:val="21"/>
              </w:rPr>
              <w:t>11</w:t>
            </w:r>
            <w:r>
              <w:rPr>
                <w:rFonts w:ascii="宋体" w:hAnsi="宋体" w:eastAsia="宋体" w:cs="宋体"/>
                <w:spacing w:val="-1"/>
                <w:kern w:val="0"/>
                <w:sz w:val="20"/>
                <w:szCs w:val="21"/>
              </w:rPr>
              <w:t>）投标文件对招标文件的实质性要求和条 件作出响应。</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w:t>
            </w:r>
            <w:r>
              <w:rPr>
                <w:rFonts w:hint="eastAsia" w:ascii="宋体" w:hAnsi="宋体" w:eastAsia="宋体" w:cs="宋体"/>
                <w:spacing w:val="-1"/>
                <w:kern w:val="0"/>
                <w:sz w:val="20"/>
                <w:szCs w:val="21"/>
              </w:rPr>
              <w:t>12</w:t>
            </w:r>
            <w:r>
              <w:rPr>
                <w:rFonts w:ascii="宋体" w:hAnsi="宋体" w:eastAsia="宋体" w:cs="宋体"/>
                <w:spacing w:val="-1"/>
                <w:kern w:val="0"/>
                <w:sz w:val="20"/>
                <w:szCs w:val="21"/>
              </w:rPr>
              <w:t>）权利义务符合招标文件规定：</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a.投标人应接受招标文件规定的风险划分原则，未提出新的风险划分办法；</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b.投标人未增加委托人的责任范围，或减少投标人义务；</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C.投标人未提出不同的支付办法</w:t>
            </w:r>
            <w:r>
              <w:rPr>
                <w:rFonts w:hint="eastAsia" w:ascii="宋体" w:hAnsi="宋体" w:eastAsia="宋体" w:cs="宋体"/>
                <w:spacing w:val="-1"/>
                <w:kern w:val="0"/>
                <w:sz w:val="20"/>
                <w:szCs w:val="21"/>
              </w:rPr>
              <w:t>；</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d.投标人对合 同纠纷、事故处理办法未提出异议</w:t>
            </w:r>
            <w:r>
              <w:rPr>
                <w:rFonts w:hint="eastAsia" w:ascii="宋体" w:hAnsi="宋体" w:eastAsia="宋体" w:cs="宋体"/>
                <w:spacing w:val="-1"/>
                <w:kern w:val="0"/>
                <w:sz w:val="20"/>
                <w:szCs w:val="21"/>
              </w:rPr>
              <w:t>；</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e.投标人在投标活动中无欺诈行为</w:t>
            </w:r>
            <w:r>
              <w:rPr>
                <w:rFonts w:hint="eastAsia" w:ascii="宋体" w:hAnsi="宋体" w:eastAsia="宋体" w:cs="宋体"/>
                <w:spacing w:val="-1"/>
                <w:kern w:val="0"/>
                <w:sz w:val="20"/>
                <w:szCs w:val="21"/>
              </w:rPr>
              <w:t>；</w:t>
            </w:r>
          </w:p>
          <w:p>
            <w:pPr>
              <w:spacing w:before="34" w:line="360" w:lineRule="auto"/>
              <w:ind w:right="102" w:firstLine="392" w:firstLineChars="198"/>
              <w:rPr>
                <w:rFonts w:ascii="宋体" w:hAnsi="宋体" w:eastAsia="宋体" w:cs="宋体"/>
                <w:spacing w:val="-1"/>
                <w:kern w:val="0"/>
                <w:sz w:val="20"/>
                <w:szCs w:val="21"/>
              </w:rPr>
            </w:pPr>
            <w:r>
              <w:rPr>
                <w:rFonts w:hint="eastAsia" w:ascii="宋体" w:hAnsi="宋体" w:eastAsia="宋体" w:cs="宋体"/>
                <w:spacing w:val="-1"/>
                <w:kern w:val="0"/>
                <w:sz w:val="20"/>
                <w:szCs w:val="21"/>
              </w:rPr>
              <w:t>f.</w:t>
            </w:r>
            <w:r>
              <w:rPr>
                <w:rFonts w:ascii="宋体" w:hAnsi="宋体" w:eastAsia="宋体" w:cs="宋体"/>
                <w:spacing w:val="-1"/>
                <w:kern w:val="0"/>
                <w:sz w:val="20"/>
                <w:szCs w:val="21"/>
              </w:rPr>
              <w:t>投标人未对合同条款有重要保留。</w:t>
            </w:r>
          </w:p>
          <w:p>
            <w:pPr>
              <w:spacing w:before="34" w:line="360" w:lineRule="auto"/>
              <w:ind w:right="102" w:firstLine="392" w:firstLineChars="198"/>
              <w:rPr>
                <w:rFonts w:ascii="宋体" w:hAnsi="宋体" w:eastAsia="宋体" w:cs="宋体"/>
                <w:spacing w:val="-1"/>
                <w:kern w:val="0"/>
                <w:sz w:val="20"/>
                <w:szCs w:val="21"/>
              </w:rPr>
            </w:pPr>
            <w:r>
              <w:rPr>
                <w:rFonts w:ascii="宋体" w:hAnsi="宋体" w:eastAsia="宋体" w:cs="宋体"/>
                <w:spacing w:val="-1"/>
                <w:kern w:val="0"/>
                <w:sz w:val="20"/>
                <w:szCs w:val="21"/>
              </w:rPr>
              <w:t>(</w:t>
            </w:r>
            <w:r>
              <w:rPr>
                <w:rFonts w:hint="eastAsia" w:ascii="宋体" w:hAnsi="宋体" w:eastAsia="宋体" w:cs="宋体"/>
                <w:spacing w:val="-1"/>
                <w:kern w:val="0"/>
                <w:sz w:val="20"/>
                <w:szCs w:val="21"/>
              </w:rPr>
              <w:t>13</w:t>
            </w:r>
            <w:r>
              <w:rPr>
                <w:rFonts w:ascii="宋体" w:hAnsi="宋体" w:eastAsia="宋体" w:cs="宋体"/>
                <w:spacing w:val="-1"/>
                <w:kern w:val="0"/>
                <w:sz w:val="20"/>
                <w:szCs w:val="21"/>
              </w:rPr>
              <w:t>）投标文件正、副本份数符合招标文件第二章“投标人须知”第 3.7.4 项规定。</w:t>
            </w:r>
          </w:p>
        </w:tc>
      </w:tr>
    </w:tbl>
    <w:p>
      <w:pPr>
        <w:spacing w:before="13"/>
        <w:jc w:val="left"/>
        <w:rPr>
          <w:rFonts w:ascii="宋体" w:hAnsi="宋体" w:eastAsia="宋体" w:cs="宋体"/>
          <w:kern w:val="0"/>
          <w:sz w:val="16"/>
          <w:szCs w:val="16"/>
        </w:rPr>
      </w:pPr>
    </w:p>
    <w:p>
      <w:pPr>
        <w:spacing w:before="38" w:after="27"/>
        <w:ind w:right="225"/>
        <w:jc w:val="right"/>
        <w:rPr>
          <w:rFonts w:ascii="宋体" w:hAnsi="宋体" w:eastAsia="宋体" w:cs="宋体"/>
          <w:spacing w:val="-2"/>
          <w:w w:val="105"/>
          <w:kern w:val="0"/>
          <w:sz w:val="20"/>
          <w:szCs w:val="20"/>
        </w:rPr>
      </w:pPr>
    </w:p>
    <w:p>
      <w:pPr>
        <w:spacing w:before="38" w:after="27"/>
        <w:ind w:right="225"/>
        <w:jc w:val="right"/>
        <w:rPr>
          <w:rFonts w:ascii="宋体" w:hAnsi="宋体" w:eastAsia="宋体" w:cs="宋体"/>
          <w:spacing w:val="-2"/>
          <w:w w:val="105"/>
          <w:kern w:val="0"/>
          <w:sz w:val="20"/>
          <w:szCs w:val="20"/>
        </w:rPr>
      </w:pPr>
    </w:p>
    <w:p>
      <w:pPr>
        <w:spacing w:before="38" w:after="27"/>
        <w:ind w:right="225"/>
        <w:jc w:val="right"/>
        <w:rPr>
          <w:rFonts w:ascii="宋体" w:hAnsi="宋体" w:eastAsia="宋体" w:cs="宋体"/>
          <w:kern w:val="0"/>
          <w:sz w:val="20"/>
          <w:szCs w:val="20"/>
          <w:lang w:eastAsia="en-US"/>
        </w:rPr>
      </w:pPr>
      <w:r>
        <w:rPr>
          <w:rFonts w:ascii="宋体" w:hAnsi="宋体" w:eastAsia="宋体" w:cs="宋体"/>
          <w:spacing w:val="-2"/>
          <w:w w:val="105"/>
          <w:kern w:val="0"/>
          <w:sz w:val="20"/>
          <w:szCs w:val="20"/>
          <w:lang w:eastAsia="en-US"/>
        </w:rPr>
        <w:t>续上表</w:t>
      </w:r>
    </w:p>
    <w:tbl>
      <w:tblPr>
        <w:tblStyle w:val="16"/>
        <w:tblW w:w="8860" w:type="dxa"/>
        <w:tblInd w:w="111" w:type="dxa"/>
        <w:tblLayout w:type="fixed"/>
        <w:tblCellMar>
          <w:top w:w="0" w:type="dxa"/>
          <w:left w:w="0" w:type="dxa"/>
          <w:bottom w:w="0" w:type="dxa"/>
          <w:right w:w="0" w:type="dxa"/>
        </w:tblCellMar>
      </w:tblPr>
      <w:tblGrid>
        <w:gridCol w:w="1028"/>
        <w:gridCol w:w="1232"/>
        <w:gridCol w:w="6600"/>
      </w:tblGrid>
      <w:tr>
        <w:tblPrEx>
          <w:tblLayout w:type="fixed"/>
          <w:tblCellMar>
            <w:top w:w="0" w:type="dxa"/>
            <w:left w:w="0" w:type="dxa"/>
            <w:bottom w:w="0" w:type="dxa"/>
            <w:right w:w="0" w:type="dxa"/>
          </w:tblCellMar>
        </w:tblPrEx>
        <w:trPr>
          <w:trHeight w:val="534" w:hRule="exact"/>
        </w:trPr>
        <w:tc>
          <w:tcPr>
            <w:tcW w:w="2260" w:type="dxa"/>
            <w:gridSpan w:val="2"/>
            <w:tcBorders>
              <w:top w:val="single" w:color="000000" w:sz="4" w:space="0"/>
              <w:left w:val="single" w:color="000000" w:sz="4" w:space="0"/>
              <w:bottom w:val="single" w:color="000000" w:sz="4" w:space="0"/>
              <w:right w:val="single" w:color="000000" w:sz="4" w:space="0"/>
            </w:tcBorders>
            <w:vAlign w:val="center"/>
          </w:tcPr>
          <w:p>
            <w:pPr>
              <w:spacing w:before="34" w:line="297" w:lineRule="auto"/>
              <w:ind w:right="102"/>
              <w:jc w:val="center"/>
              <w:rPr>
                <w:rFonts w:ascii="宋体" w:hAnsi="宋体" w:eastAsia="宋体" w:cs="宋体"/>
                <w:b/>
                <w:bCs/>
                <w:spacing w:val="-1"/>
                <w:kern w:val="0"/>
                <w:sz w:val="20"/>
                <w:szCs w:val="21"/>
              </w:rPr>
            </w:pPr>
            <w:r>
              <w:rPr>
                <w:rFonts w:ascii="宋体" w:hAnsi="宋体" w:eastAsia="宋体" w:cs="宋体"/>
                <w:b/>
                <w:bCs/>
                <w:spacing w:val="-1"/>
                <w:kern w:val="0"/>
                <w:sz w:val="20"/>
                <w:szCs w:val="21"/>
              </w:rPr>
              <w:t>条款号</w:t>
            </w:r>
          </w:p>
        </w:tc>
        <w:tc>
          <w:tcPr>
            <w:tcW w:w="6600" w:type="dxa"/>
            <w:tcBorders>
              <w:top w:val="single" w:color="000000" w:sz="4" w:space="0"/>
              <w:left w:val="single" w:color="000000" w:sz="4" w:space="0"/>
              <w:bottom w:val="single" w:color="000000" w:sz="4" w:space="0"/>
              <w:right w:val="single" w:color="000000" w:sz="4" w:space="0"/>
            </w:tcBorders>
            <w:vAlign w:val="center"/>
          </w:tcPr>
          <w:p>
            <w:pPr>
              <w:spacing w:before="34" w:line="297" w:lineRule="auto"/>
              <w:ind w:right="102"/>
              <w:jc w:val="center"/>
              <w:rPr>
                <w:rFonts w:ascii="宋体" w:hAnsi="宋体" w:eastAsia="宋体" w:cs="宋体"/>
                <w:b/>
                <w:bCs/>
                <w:spacing w:val="-1"/>
                <w:kern w:val="0"/>
                <w:sz w:val="20"/>
                <w:szCs w:val="21"/>
              </w:rPr>
            </w:pPr>
            <w:r>
              <w:rPr>
                <w:rFonts w:ascii="宋体" w:hAnsi="宋体" w:eastAsia="宋体" w:cs="宋体"/>
                <w:b/>
                <w:bCs/>
                <w:spacing w:val="-1"/>
                <w:kern w:val="0"/>
                <w:sz w:val="20"/>
                <w:szCs w:val="21"/>
              </w:rPr>
              <w:t>评审因素与评审标准</w:t>
            </w:r>
          </w:p>
        </w:tc>
      </w:tr>
      <w:tr>
        <w:tblPrEx>
          <w:tblLayout w:type="fixed"/>
          <w:tblCellMar>
            <w:top w:w="0" w:type="dxa"/>
            <w:left w:w="0" w:type="dxa"/>
            <w:bottom w:w="0" w:type="dxa"/>
            <w:right w:w="0" w:type="dxa"/>
          </w:tblCellMar>
        </w:tblPrEx>
        <w:trPr>
          <w:trHeight w:val="90" w:hRule="exact"/>
        </w:trPr>
        <w:tc>
          <w:tcPr>
            <w:tcW w:w="1028" w:type="dxa"/>
            <w:tcBorders>
              <w:top w:val="single" w:color="000000" w:sz="4" w:space="0"/>
              <w:left w:val="single" w:color="000000" w:sz="4" w:space="0"/>
              <w:bottom w:val="single" w:color="000000" w:sz="4" w:space="0"/>
              <w:right w:val="single" w:color="000000" w:sz="4" w:space="0"/>
            </w:tcBorders>
            <w:vAlign w:val="center"/>
          </w:tcPr>
          <w:p>
            <w:pPr>
              <w:spacing w:before="34" w:line="297" w:lineRule="auto"/>
              <w:ind w:right="102"/>
              <w:jc w:val="center"/>
              <w:rPr>
                <w:rFonts w:ascii="宋体" w:hAnsi="宋体" w:eastAsia="宋体" w:cs="宋体"/>
                <w:b/>
                <w:bCs/>
                <w:spacing w:val="-1"/>
                <w:kern w:val="0"/>
                <w:sz w:val="20"/>
                <w:szCs w:val="21"/>
              </w:rPr>
            </w:pPr>
          </w:p>
        </w:tc>
        <w:tc>
          <w:tcPr>
            <w:tcW w:w="1232" w:type="dxa"/>
            <w:tcBorders>
              <w:top w:val="single" w:color="000000" w:sz="4" w:space="0"/>
              <w:left w:val="single" w:color="000000" w:sz="4" w:space="0"/>
              <w:bottom w:val="single" w:color="000000" w:sz="4" w:space="0"/>
              <w:right w:val="single" w:color="000000" w:sz="4" w:space="0"/>
            </w:tcBorders>
            <w:vAlign w:val="center"/>
          </w:tcPr>
          <w:p>
            <w:pPr>
              <w:spacing w:before="34" w:line="297" w:lineRule="auto"/>
              <w:ind w:right="102"/>
              <w:jc w:val="center"/>
              <w:rPr>
                <w:rFonts w:ascii="宋体" w:hAnsi="宋体" w:eastAsia="宋体" w:cs="宋体"/>
                <w:b/>
                <w:bCs/>
                <w:spacing w:val="-1"/>
                <w:kern w:val="0"/>
                <w:sz w:val="20"/>
                <w:szCs w:val="21"/>
              </w:rPr>
            </w:pPr>
          </w:p>
        </w:tc>
        <w:tc>
          <w:tcPr>
            <w:tcW w:w="6600" w:type="dxa"/>
            <w:tcBorders>
              <w:top w:val="single" w:color="000000" w:sz="4" w:space="0"/>
              <w:left w:val="single" w:color="000000" w:sz="4" w:space="0"/>
              <w:bottom w:val="single" w:color="000000" w:sz="4" w:space="0"/>
              <w:right w:val="single" w:color="000000" w:sz="4" w:space="0"/>
            </w:tcBorders>
            <w:vAlign w:val="center"/>
          </w:tcPr>
          <w:p>
            <w:pPr>
              <w:spacing w:before="34" w:line="297" w:lineRule="auto"/>
              <w:ind w:right="102"/>
              <w:rPr>
                <w:rFonts w:ascii="宋体" w:hAnsi="宋体" w:eastAsia="宋体" w:cs="宋体"/>
                <w:b/>
                <w:bCs/>
                <w:spacing w:val="-1"/>
                <w:kern w:val="0"/>
                <w:sz w:val="20"/>
                <w:szCs w:val="21"/>
              </w:rPr>
            </w:pPr>
            <w:r>
              <w:rPr>
                <w:rFonts w:ascii="宋体" w:hAnsi="宋体" w:eastAsia="宋体" w:cs="宋体"/>
                <w:b/>
                <w:bCs/>
                <w:spacing w:val="-1"/>
                <w:kern w:val="0"/>
                <w:sz w:val="20"/>
                <w:szCs w:val="21"/>
              </w:rPr>
              <w:t>第二个信封（报价文件）评审标准：</w:t>
            </w:r>
          </w:p>
          <w:p>
            <w:pPr>
              <w:spacing w:before="34" w:line="297" w:lineRule="auto"/>
              <w:ind w:right="102" w:firstLine="308" w:firstLineChars="156"/>
              <w:rPr>
                <w:rFonts w:ascii="宋体" w:hAnsi="宋体" w:eastAsia="宋体" w:cs="宋体"/>
                <w:spacing w:val="-1"/>
                <w:kern w:val="0"/>
                <w:sz w:val="20"/>
                <w:szCs w:val="21"/>
              </w:rPr>
            </w:pPr>
            <w:r>
              <w:rPr>
                <w:rFonts w:hint="eastAsia" w:ascii="宋体" w:hAnsi="宋体" w:eastAsia="宋体" w:cs="宋体"/>
                <w:spacing w:val="-1"/>
                <w:kern w:val="0"/>
                <w:sz w:val="20"/>
                <w:szCs w:val="21"/>
              </w:rPr>
              <w:t>（1）</w:t>
            </w:r>
            <w:r>
              <w:rPr>
                <w:rFonts w:ascii="宋体" w:hAnsi="宋体" w:eastAsia="宋体" w:cs="宋体"/>
                <w:spacing w:val="-1"/>
                <w:kern w:val="0"/>
                <w:sz w:val="20"/>
                <w:szCs w:val="21"/>
              </w:rPr>
              <w:t>投标文件按照招标文件规定的格式、内容填写，字迹清晰可辨，内容齐全完整</w:t>
            </w:r>
            <w:r>
              <w:rPr>
                <w:rFonts w:hint="eastAsia" w:ascii="宋体" w:hAnsi="宋体" w:eastAsia="宋体" w:cs="宋体"/>
                <w:spacing w:val="-1"/>
                <w:kern w:val="0"/>
                <w:sz w:val="20"/>
                <w:szCs w:val="21"/>
              </w:rPr>
              <w:t>；</w:t>
            </w:r>
          </w:p>
          <w:p>
            <w:pPr>
              <w:spacing w:before="34" w:line="297" w:lineRule="auto"/>
              <w:ind w:right="102" w:firstLine="308" w:firstLineChars="156"/>
              <w:rPr>
                <w:rFonts w:ascii="宋体" w:hAnsi="宋体" w:eastAsia="宋体" w:cs="宋体"/>
                <w:spacing w:val="-1"/>
                <w:kern w:val="0"/>
                <w:sz w:val="20"/>
                <w:szCs w:val="21"/>
              </w:rPr>
            </w:pPr>
            <w:r>
              <w:rPr>
                <w:rFonts w:ascii="宋体" w:hAnsi="宋体" w:eastAsia="宋体" w:cs="宋体"/>
                <w:spacing w:val="-1"/>
                <w:kern w:val="0"/>
                <w:sz w:val="20"/>
                <w:szCs w:val="21"/>
              </w:rPr>
              <w:t>a.投标函按招标文件规定填报了 项目名称、标段号、补遗书编号（如</w:t>
            </w:r>
          </w:p>
          <w:p>
            <w:pPr>
              <w:spacing w:before="34" w:line="297" w:lineRule="auto"/>
              <w:ind w:right="102" w:firstLine="308" w:firstLineChars="156"/>
              <w:rPr>
                <w:rFonts w:ascii="宋体" w:hAnsi="宋体" w:eastAsia="宋体" w:cs="宋体"/>
                <w:spacing w:val="-1"/>
                <w:kern w:val="0"/>
                <w:sz w:val="20"/>
                <w:szCs w:val="21"/>
              </w:rPr>
            </w:pPr>
            <w:r>
              <w:rPr>
                <w:rFonts w:ascii="宋体" w:hAnsi="宋体" w:eastAsia="宋体" w:cs="宋体"/>
                <w:spacing w:val="-1"/>
                <w:kern w:val="0"/>
                <w:sz w:val="20"/>
                <w:szCs w:val="21"/>
              </w:rPr>
              <w:t>有）、投标价（包括大写金额和小写金额）</w:t>
            </w:r>
            <w:r>
              <w:rPr>
                <w:rFonts w:hint="eastAsia" w:ascii="宋体" w:hAnsi="宋体" w:eastAsia="宋体" w:cs="宋体"/>
                <w:spacing w:val="-1"/>
                <w:kern w:val="0"/>
                <w:sz w:val="20"/>
                <w:szCs w:val="21"/>
              </w:rPr>
              <w:t>；</w:t>
            </w:r>
          </w:p>
          <w:p>
            <w:pPr>
              <w:spacing w:before="34" w:line="297" w:lineRule="auto"/>
              <w:ind w:right="102" w:firstLine="308" w:firstLineChars="156"/>
              <w:rPr>
                <w:rFonts w:ascii="宋体" w:hAnsi="宋体" w:eastAsia="宋体" w:cs="宋体"/>
                <w:spacing w:val="-1"/>
                <w:kern w:val="0"/>
                <w:sz w:val="20"/>
                <w:szCs w:val="21"/>
              </w:rPr>
            </w:pPr>
            <w:r>
              <w:rPr>
                <w:rFonts w:ascii="宋体" w:hAnsi="宋体" w:eastAsia="宋体" w:cs="宋体"/>
                <w:spacing w:val="-1"/>
                <w:kern w:val="0"/>
                <w:sz w:val="20"/>
                <w:szCs w:val="21"/>
              </w:rPr>
              <w:t>b.己标价报价清单说明文字与招标文件规定一致，未进行实质性修改和删减；</w:t>
            </w:r>
          </w:p>
          <w:p>
            <w:pPr>
              <w:spacing w:before="34" w:line="297" w:lineRule="auto"/>
              <w:ind w:right="102" w:firstLine="308" w:firstLineChars="156"/>
              <w:rPr>
                <w:rFonts w:ascii="宋体" w:hAnsi="宋体" w:eastAsia="宋体" w:cs="宋体"/>
                <w:spacing w:val="-1"/>
                <w:kern w:val="0"/>
                <w:sz w:val="20"/>
                <w:szCs w:val="21"/>
              </w:rPr>
            </w:pPr>
            <w:r>
              <w:rPr>
                <w:rFonts w:hint="eastAsia" w:ascii="宋体" w:hAnsi="宋体" w:eastAsia="宋体" w:cs="宋体"/>
                <w:spacing w:val="-1"/>
                <w:kern w:val="0"/>
                <w:sz w:val="20"/>
                <w:szCs w:val="21"/>
              </w:rPr>
              <w:t>c</w:t>
            </w:r>
            <w:r>
              <w:rPr>
                <w:rFonts w:ascii="宋体" w:hAnsi="宋体" w:eastAsia="宋体" w:cs="宋体"/>
                <w:spacing w:val="-1"/>
                <w:kern w:val="0"/>
                <w:sz w:val="20"/>
                <w:szCs w:val="21"/>
              </w:rPr>
              <w:t>.投标文件组成齐全完整</w:t>
            </w:r>
            <w:r>
              <w:rPr>
                <w:rFonts w:hint="eastAsia" w:ascii="宋体" w:hAnsi="宋体" w:eastAsia="宋体" w:cs="宋体"/>
                <w:spacing w:val="-1"/>
                <w:kern w:val="0"/>
                <w:sz w:val="20"/>
                <w:szCs w:val="21"/>
              </w:rPr>
              <w:t>，</w:t>
            </w:r>
            <w:r>
              <w:rPr>
                <w:rFonts w:ascii="宋体" w:hAnsi="宋体" w:eastAsia="宋体" w:cs="宋体"/>
                <w:spacing w:val="-1"/>
                <w:kern w:val="0"/>
                <w:sz w:val="20"/>
                <w:szCs w:val="21"/>
              </w:rPr>
              <w:t>内容均按规定填写。</w:t>
            </w:r>
          </w:p>
          <w:p>
            <w:pPr>
              <w:spacing w:before="34" w:line="297" w:lineRule="auto"/>
              <w:ind w:right="102" w:firstLine="308" w:firstLineChars="156"/>
              <w:rPr>
                <w:rFonts w:ascii="宋体" w:hAnsi="宋体" w:eastAsia="宋体" w:cs="宋体"/>
                <w:spacing w:val="-1"/>
                <w:kern w:val="0"/>
                <w:sz w:val="20"/>
                <w:szCs w:val="21"/>
              </w:rPr>
            </w:pPr>
            <w:r>
              <w:rPr>
                <w:rFonts w:hint="eastAsia" w:ascii="宋体" w:hAnsi="宋体" w:eastAsia="宋体" w:cs="宋体"/>
                <w:spacing w:val="-1"/>
                <w:kern w:val="0"/>
                <w:sz w:val="20"/>
                <w:szCs w:val="21"/>
              </w:rPr>
              <w:t>（2）</w:t>
            </w:r>
            <w:r>
              <w:rPr>
                <w:rFonts w:ascii="宋体" w:hAnsi="宋体" w:eastAsia="宋体" w:cs="宋体"/>
                <w:spacing w:val="-1"/>
                <w:kern w:val="0"/>
                <w:sz w:val="20"/>
                <w:szCs w:val="21"/>
              </w:rPr>
              <w:t>投标文件上法定代表人或其委托代理人的签字、投标人的单位章盖章齐全，符合招标文件规定 。</w:t>
            </w:r>
          </w:p>
          <w:p>
            <w:pPr>
              <w:spacing w:before="34" w:line="297" w:lineRule="auto"/>
              <w:ind w:right="102" w:firstLine="308" w:firstLineChars="156"/>
              <w:rPr>
                <w:rFonts w:ascii="宋体" w:hAnsi="宋体" w:eastAsia="宋体" w:cs="宋体"/>
                <w:spacing w:val="-1"/>
                <w:kern w:val="0"/>
                <w:sz w:val="20"/>
                <w:szCs w:val="21"/>
              </w:rPr>
            </w:pPr>
            <w:r>
              <w:rPr>
                <w:rFonts w:hint="eastAsia" w:ascii="宋体" w:hAnsi="宋体" w:eastAsia="宋体" w:cs="宋体"/>
                <w:spacing w:val="-1"/>
                <w:kern w:val="0"/>
                <w:sz w:val="20"/>
                <w:szCs w:val="21"/>
              </w:rPr>
              <w:t>（3）</w:t>
            </w:r>
            <w:r>
              <w:rPr>
                <w:rFonts w:ascii="宋体" w:hAnsi="宋体" w:eastAsia="宋体" w:cs="宋体"/>
                <w:spacing w:val="-1"/>
                <w:kern w:val="0"/>
                <w:sz w:val="20"/>
                <w:szCs w:val="21"/>
              </w:rPr>
              <w:t>投标报价未超过招标文件设定的最高投标限价（如有）。</w:t>
            </w:r>
          </w:p>
          <w:p>
            <w:pPr>
              <w:spacing w:before="34" w:line="297" w:lineRule="auto"/>
              <w:ind w:right="102" w:firstLine="308" w:firstLineChars="156"/>
              <w:rPr>
                <w:rFonts w:ascii="宋体" w:hAnsi="宋体" w:eastAsia="宋体" w:cs="宋体"/>
                <w:spacing w:val="-1"/>
                <w:kern w:val="0"/>
                <w:sz w:val="20"/>
                <w:szCs w:val="21"/>
              </w:rPr>
            </w:pPr>
            <w:r>
              <w:rPr>
                <w:rFonts w:hint="eastAsia" w:ascii="宋体" w:hAnsi="宋体" w:eastAsia="宋体" w:cs="宋体"/>
                <w:spacing w:val="-1"/>
                <w:kern w:val="0"/>
                <w:sz w:val="20"/>
                <w:szCs w:val="21"/>
              </w:rPr>
              <w:t>（4）</w:t>
            </w:r>
            <w:r>
              <w:rPr>
                <w:rFonts w:ascii="宋体" w:hAnsi="宋体" w:eastAsia="宋体" w:cs="宋体"/>
                <w:spacing w:val="-1"/>
                <w:kern w:val="0"/>
                <w:sz w:val="20"/>
                <w:szCs w:val="21"/>
              </w:rPr>
              <w:t>投标报价的大写金额能够确定具体数值。</w:t>
            </w:r>
          </w:p>
          <w:p>
            <w:pPr>
              <w:spacing w:before="34" w:line="297" w:lineRule="auto"/>
              <w:ind w:right="102" w:firstLine="308" w:firstLineChars="156"/>
              <w:rPr>
                <w:rFonts w:ascii="宋体" w:hAnsi="宋体" w:eastAsia="宋体" w:cs="宋体"/>
                <w:spacing w:val="-1"/>
                <w:kern w:val="0"/>
                <w:sz w:val="20"/>
                <w:szCs w:val="21"/>
              </w:rPr>
            </w:pPr>
            <w:r>
              <w:rPr>
                <w:rFonts w:hint="eastAsia" w:ascii="宋体" w:hAnsi="宋体" w:eastAsia="宋体" w:cs="宋体"/>
                <w:spacing w:val="-1"/>
                <w:kern w:val="0"/>
                <w:sz w:val="20"/>
                <w:szCs w:val="21"/>
              </w:rPr>
              <w:t>（</w:t>
            </w:r>
            <w:r>
              <w:rPr>
                <w:rFonts w:ascii="宋体" w:hAnsi="宋体" w:eastAsia="宋体" w:cs="宋体"/>
                <w:spacing w:val="-1"/>
                <w:kern w:val="0"/>
                <w:sz w:val="20"/>
                <w:szCs w:val="21"/>
              </w:rPr>
              <w:t>5）同一投标人未提交两个以上不同的投标报价，但招标文件要求提交备选投标的除外。</w:t>
            </w:r>
          </w:p>
          <w:p>
            <w:pPr>
              <w:spacing w:before="34" w:line="297" w:lineRule="auto"/>
              <w:ind w:right="102" w:firstLine="308" w:firstLineChars="156"/>
              <w:rPr>
                <w:rFonts w:ascii="宋体" w:hAnsi="宋体" w:eastAsia="宋体" w:cs="宋体"/>
                <w:b/>
                <w:bCs/>
                <w:spacing w:val="-1"/>
                <w:kern w:val="0"/>
                <w:sz w:val="20"/>
                <w:szCs w:val="21"/>
              </w:rPr>
            </w:pPr>
            <w:r>
              <w:rPr>
                <w:rFonts w:hint="eastAsia" w:ascii="宋体" w:hAnsi="宋体" w:eastAsia="宋体" w:cs="宋体"/>
                <w:spacing w:val="-1"/>
                <w:kern w:val="0"/>
                <w:sz w:val="20"/>
                <w:szCs w:val="21"/>
              </w:rPr>
              <w:t>（</w:t>
            </w:r>
            <w:r>
              <w:rPr>
                <w:rFonts w:ascii="宋体" w:hAnsi="宋体" w:eastAsia="宋体" w:cs="宋体"/>
                <w:spacing w:val="-1"/>
                <w:kern w:val="0"/>
                <w:sz w:val="20"/>
                <w:szCs w:val="21"/>
              </w:rPr>
              <w:t>6）投标文件正、副本份数符合招标文件第二章“投标人须知”第3.7.4 项规定。</w:t>
            </w:r>
          </w:p>
        </w:tc>
      </w:tr>
      <w:tr>
        <w:tblPrEx>
          <w:tblLayout w:type="fixed"/>
          <w:tblCellMar>
            <w:top w:w="0" w:type="dxa"/>
            <w:left w:w="0" w:type="dxa"/>
            <w:bottom w:w="0" w:type="dxa"/>
            <w:right w:w="0" w:type="dxa"/>
          </w:tblCellMar>
        </w:tblPrEx>
        <w:trPr>
          <w:trHeight w:val="6654" w:hRule="exact"/>
        </w:trPr>
        <w:tc>
          <w:tcPr>
            <w:tcW w:w="1028" w:type="dxa"/>
            <w:tcBorders>
              <w:top w:val="single" w:color="000000" w:sz="4" w:space="0"/>
              <w:left w:val="single" w:color="000000" w:sz="4" w:space="0"/>
              <w:bottom w:val="single" w:color="auto" w:sz="4" w:space="0"/>
              <w:right w:val="single" w:color="000000" w:sz="4" w:space="0"/>
            </w:tcBorders>
            <w:vAlign w:val="center"/>
          </w:tcPr>
          <w:p>
            <w:pPr>
              <w:spacing w:before="34" w:line="297" w:lineRule="auto"/>
              <w:ind w:right="102"/>
              <w:jc w:val="center"/>
              <w:rPr>
                <w:rFonts w:ascii="宋体" w:hAnsi="宋体" w:eastAsia="宋体" w:cs="宋体"/>
                <w:spacing w:val="-1"/>
                <w:kern w:val="0"/>
                <w:sz w:val="20"/>
                <w:szCs w:val="21"/>
              </w:rPr>
            </w:pPr>
            <w:r>
              <w:rPr>
                <w:rFonts w:ascii="宋体" w:hAnsi="宋体" w:eastAsia="宋体" w:cs="宋体"/>
                <w:spacing w:val="-1"/>
                <w:kern w:val="0"/>
                <w:sz w:val="20"/>
                <w:szCs w:val="21"/>
              </w:rPr>
              <w:t>2.1.2</w:t>
            </w:r>
          </w:p>
        </w:tc>
        <w:tc>
          <w:tcPr>
            <w:tcW w:w="1232" w:type="dxa"/>
            <w:tcBorders>
              <w:top w:val="single" w:color="000000" w:sz="4" w:space="0"/>
              <w:left w:val="single" w:color="000000" w:sz="4" w:space="0"/>
              <w:bottom w:val="single" w:color="auto" w:sz="4" w:space="0"/>
              <w:right w:val="single" w:color="000000" w:sz="4" w:space="0"/>
            </w:tcBorders>
            <w:vAlign w:val="center"/>
          </w:tcPr>
          <w:p>
            <w:pPr>
              <w:spacing w:before="34" w:line="297" w:lineRule="auto"/>
              <w:ind w:right="102"/>
              <w:jc w:val="center"/>
              <w:rPr>
                <w:rFonts w:ascii="宋体" w:hAnsi="宋体" w:eastAsia="宋体" w:cs="宋体"/>
                <w:spacing w:val="-1"/>
                <w:kern w:val="0"/>
                <w:sz w:val="20"/>
                <w:szCs w:val="21"/>
              </w:rPr>
            </w:pPr>
            <w:r>
              <w:rPr>
                <w:rFonts w:ascii="宋体" w:hAnsi="宋体" w:eastAsia="宋体" w:cs="宋体"/>
                <w:spacing w:val="-1"/>
                <w:kern w:val="0"/>
                <w:sz w:val="20"/>
                <w:szCs w:val="21"/>
              </w:rPr>
              <w:t>资格评审标 准</w:t>
            </w:r>
          </w:p>
        </w:tc>
        <w:tc>
          <w:tcPr>
            <w:tcW w:w="6600" w:type="dxa"/>
            <w:tcBorders>
              <w:top w:val="single" w:color="000000" w:sz="4" w:space="0"/>
              <w:left w:val="single" w:color="000000" w:sz="4" w:space="0"/>
              <w:bottom w:val="single" w:color="auto" w:sz="4" w:space="0"/>
              <w:right w:val="single" w:color="000000" w:sz="4" w:space="0"/>
            </w:tcBorders>
            <w:vAlign w:val="center"/>
          </w:tcPr>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（1）</w:t>
            </w:r>
            <w:r>
              <w:rPr>
                <w:rFonts w:ascii="宋体" w:hAnsi="宋体" w:eastAsia="宋体" w:cs="宋体"/>
                <w:spacing w:val="-1"/>
                <w:kern w:val="0"/>
                <w:sz w:val="20"/>
                <w:szCs w:val="21"/>
              </w:rPr>
              <w:t>投标人具备有效的营业执照、组织机构代码证、监理资质</w:t>
            </w:r>
            <w:r>
              <w:rPr>
                <w:rFonts w:hint="eastAsia" w:ascii="宋体" w:hAnsi="宋体" w:eastAsia="宋体" w:cs="宋体"/>
                <w:spacing w:val="-1"/>
                <w:kern w:val="0"/>
                <w:sz w:val="20"/>
                <w:szCs w:val="21"/>
              </w:rPr>
              <w:t>证</w:t>
            </w:r>
            <w:r>
              <w:rPr>
                <w:rFonts w:ascii="宋体" w:hAnsi="宋体" w:eastAsia="宋体" w:cs="宋体"/>
                <w:spacing w:val="-1"/>
                <w:kern w:val="0"/>
                <w:sz w:val="20"/>
                <w:szCs w:val="21"/>
              </w:rPr>
              <w:t>书和基本账户开户许可证。</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（2）</w:t>
            </w:r>
            <w:r>
              <w:rPr>
                <w:rFonts w:ascii="宋体" w:hAnsi="宋体" w:eastAsia="宋体" w:cs="宋体"/>
                <w:spacing w:val="-1"/>
                <w:kern w:val="0"/>
                <w:sz w:val="20"/>
                <w:szCs w:val="21"/>
              </w:rPr>
              <w:t>投标人的资质等级符合招标文件规定。</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（3）</w:t>
            </w:r>
            <w:r>
              <w:rPr>
                <w:rFonts w:ascii="宋体" w:hAnsi="宋体" w:eastAsia="宋体" w:cs="宋体"/>
                <w:spacing w:val="-1"/>
                <w:kern w:val="0"/>
                <w:sz w:val="20"/>
                <w:szCs w:val="21"/>
              </w:rPr>
              <w:t>投标人的类似项 目业绩符合招标文件规定。</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（4）</w:t>
            </w:r>
            <w:r>
              <w:rPr>
                <w:rFonts w:ascii="宋体" w:hAnsi="宋体" w:eastAsia="宋体" w:cs="宋体"/>
                <w:spacing w:val="-1"/>
                <w:kern w:val="0"/>
                <w:sz w:val="20"/>
                <w:szCs w:val="21"/>
              </w:rPr>
              <w:t>投标人的信誉符合招标文件规定。</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（5）</w:t>
            </w:r>
            <w:r>
              <w:rPr>
                <w:rFonts w:ascii="宋体" w:hAnsi="宋体" w:eastAsia="宋体" w:cs="宋体"/>
                <w:spacing w:val="-1"/>
                <w:kern w:val="0"/>
                <w:sz w:val="20"/>
                <w:szCs w:val="21"/>
              </w:rPr>
              <w:t>投标人的总监理工程师或驻地监理工程师资格、在岗情况符合招标文件规定。</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（6）</w:t>
            </w:r>
            <w:r>
              <w:rPr>
                <w:rFonts w:ascii="宋体" w:hAnsi="宋体" w:eastAsia="宋体" w:cs="宋体"/>
                <w:spacing w:val="-1"/>
                <w:kern w:val="0"/>
                <w:sz w:val="20"/>
                <w:szCs w:val="21"/>
              </w:rPr>
              <w:t>投标人的其他要求符合招标文件规定。</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（7）</w:t>
            </w:r>
            <w:r>
              <w:rPr>
                <w:rFonts w:ascii="宋体" w:hAnsi="宋体" w:eastAsia="宋体" w:cs="宋体"/>
                <w:spacing w:val="-1"/>
                <w:kern w:val="0"/>
                <w:sz w:val="20"/>
                <w:szCs w:val="21"/>
              </w:rPr>
              <w:t>投标人不存在第二章“投标人须知”第 1.4.3 项或第 1.4.4 项规定的任何一种情形。</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（8）</w:t>
            </w:r>
            <w:r>
              <w:rPr>
                <w:rFonts w:ascii="宋体" w:hAnsi="宋体" w:eastAsia="宋体" w:cs="宋体"/>
                <w:spacing w:val="-1"/>
                <w:kern w:val="0"/>
                <w:sz w:val="20"/>
                <w:szCs w:val="21"/>
              </w:rPr>
              <w:t>投标人符合第二章“投标人须知”第 1.4.5 项规定。</w:t>
            </w:r>
          </w:p>
          <w:p>
            <w:pPr>
              <w:spacing w:before="34" w:line="360" w:lineRule="auto"/>
              <w:ind w:right="102"/>
              <w:rPr>
                <w:rFonts w:ascii="宋体" w:hAnsi="宋体" w:eastAsia="宋体" w:cs="宋体"/>
                <w:spacing w:val="-1"/>
                <w:kern w:val="0"/>
                <w:sz w:val="20"/>
                <w:szCs w:val="21"/>
              </w:rPr>
            </w:pPr>
            <w:r>
              <w:rPr>
                <w:rFonts w:hint="eastAsia" w:ascii="宋体" w:hAnsi="宋体" w:eastAsia="宋体" w:cs="宋体"/>
                <w:spacing w:val="-1"/>
                <w:kern w:val="0"/>
                <w:sz w:val="20"/>
                <w:szCs w:val="21"/>
              </w:rPr>
              <w:t>（9）</w:t>
            </w:r>
            <w:r>
              <w:rPr>
                <w:rFonts w:ascii="宋体" w:hAnsi="宋体" w:eastAsia="宋体" w:cs="宋体"/>
                <w:spacing w:val="-1"/>
                <w:kern w:val="0"/>
                <w:sz w:val="20"/>
                <w:szCs w:val="21"/>
              </w:rPr>
              <w:t>以联合体形式参与投标的，联合体各方均未再 以白己名义单独或参加其他联合体在同一标段中投标：独立参与投标的，投标人未同时参加联合体在同一标段中投标 。</w:t>
            </w:r>
          </w:p>
        </w:tc>
      </w:tr>
    </w:tbl>
    <w:p>
      <w:pPr>
        <w:spacing w:line="302" w:lineRule="auto"/>
        <w:jc w:val="left"/>
        <w:rPr>
          <w:rFonts w:ascii="宋体" w:hAnsi="宋体" w:eastAsia="宋体" w:cs="宋体"/>
          <w:kern w:val="0"/>
          <w:sz w:val="17"/>
          <w:szCs w:val="17"/>
        </w:rPr>
        <w:sectPr>
          <w:footerReference r:id="rId3" w:type="default"/>
          <w:pgSz w:w="11910" w:h="16840"/>
          <w:pgMar w:top="1140" w:right="1360" w:bottom="1260" w:left="1420" w:header="889" w:footer="1073" w:gutter="0"/>
          <w:cols w:space="720" w:num="1"/>
        </w:sectPr>
      </w:pPr>
    </w:p>
    <w:p>
      <w:pPr>
        <w:spacing w:before="7"/>
        <w:jc w:val="left"/>
        <w:rPr>
          <w:rFonts w:ascii="宋体" w:hAnsi="宋体" w:eastAsia="宋体" w:cs="宋体"/>
          <w:kern w:val="0"/>
          <w:sz w:val="28"/>
          <w:szCs w:val="28"/>
        </w:rPr>
      </w:pPr>
    </w:p>
    <w:p>
      <w:pPr>
        <w:jc w:val="left"/>
        <w:rPr>
          <w:rFonts w:ascii="宋体" w:hAnsi="宋体" w:eastAsia="宋体" w:cs="宋体"/>
          <w:kern w:val="0"/>
          <w:sz w:val="28"/>
          <w:szCs w:val="28"/>
        </w:rPr>
        <w:sectPr>
          <w:footerReference r:id="rId4" w:type="default"/>
          <w:pgSz w:w="11910" w:h="16840"/>
          <w:pgMar w:top="1140" w:right="1320" w:bottom="1260" w:left="1420" w:header="889" w:footer="1065" w:gutter="0"/>
          <w:pgNumType w:start="51"/>
          <w:cols w:space="720" w:num="1"/>
        </w:sectPr>
      </w:pPr>
    </w:p>
    <w:tbl>
      <w:tblPr>
        <w:tblStyle w:val="16"/>
        <w:tblW w:w="8966" w:type="dxa"/>
        <w:tblInd w:w="111" w:type="dxa"/>
        <w:tblLayout w:type="fixed"/>
        <w:tblCellMar>
          <w:top w:w="0" w:type="dxa"/>
          <w:left w:w="0" w:type="dxa"/>
          <w:bottom w:w="0" w:type="dxa"/>
          <w:right w:w="0" w:type="dxa"/>
        </w:tblCellMar>
      </w:tblPr>
      <w:tblGrid>
        <w:gridCol w:w="989"/>
        <w:gridCol w:w="1279"/>
        <w:gridCol w:w="6698"/>
      </w:tblGrid>
      <w:tr>
        <w:tblPrEx>
          <w:tblLayout w:type="fixed"/>
          <w:tblCellMar>
            <w:top w:w="0" w:type="dxa"/>
            <w:left w:w="0" w:type="dxa"/>
            <w:bottom w:w="0" w:type="dxa"/>
            <w:right w:w="0" w:type="dxa"/>
          </w:tblCellMar>
        </w:tblPrEx>
        <w:trPr>
          <w:trHeight w:val="389" w:hRule="exact"/>
        </w:trPr>
        <w:tc>
          <w:tcPr>
            <w:tcW w:w="989" w:type="dxa"/>
            <w:tcBorders>
              <w:top w:val="single" w:color="000000" w:sz="4" w:space="0"/>
              <w:left w:val="single" w:color="000000" w:sz="4" w:space="0"/>
              <w:bottom w:val="single" w:color="000000" w:sz="4" w:space="0"/>
              <w:right w:val="single" w:color="000000" w:sz="4" w:space="0"/>
            </w:tcBorders>
          </w:tcPr>
          <w:p>
            <w:pPr>
              <w:spacing w:before="74"/>
              <w:jc w:val="center"/>
              <w:rPr>
                <w:rFonts w:ascii="宋体" w:hAnsi="宋体" w:eastAsia="宋体" w:cs="宋体"/>
                <w:kern w:val="0"/>
                <w:sz w:val="20"/>
                <w:szCs w:val="21"/>
                <w:lang w:eastAsia="en-US"/>
              </w:rPr>
            </w:pPr>
            <w:r>
              <w:rPr>
                <w:rFonts w:ascii="宋体" w:hAnsi="宋体" w:eastAsia="宋体" w:cs="宋体"/>
                <w:b/>
                <w:bCs/>
                <w:kern w:val="0"/>
                <w:sz w:val="20"/>
                <w:szCs w:val="21"/>
                <w:lang w:eastAsia="en-US"/>
              </w:rPr>
              <w:t>条款号</w:t>
            </w:r>
          </w:p>
        </w:tc>
        <w:tc>
          <w:tcPr>
            <w:tcW w:w="1279" w:type="dxa"/>
            <w:tcBorders>
              <w:top w:val="single" w:color="000000" w:sz="4" w:space="0"/>
              <w:left w:val="single" w:color="000000" w:sz="4" w:space="0"/>
              <w:bottom w:val="single" w:color="000000" w:sz="4" w:space="0"/>
              <w:right w:val="single" w:color="000000" w:sz="4" w:space="0"/>
            </w:tcBorders>
          </w:tcPr>
          <w:p>
            <w:pPr>
              <w:spacing w:before="74"/>
              <w:ind w:left="213"/>
              <w:jc w:val="left"/>
              <w:rPr>
                <w:rFonts w:ascii="宋体" w:hAnsi="宋体" w:eastAsia="宋体" w:cs="宋体"/>
                <w:kern w:val="0"/>
                <w:sz w:val="20"/>
                <w:szCs w:val="21"/>
                <w:lang w:eastAsia="en-US"/>
              </w:rPr>
            </w:pPr>
            <w:r>
              <w:rPr>
                <w:rFonts w:ascii="宋体" w:hAnsi="宋体" w:eastAsia="宋体" w:cs="宋体"/>
                <w:b/>
                <w:bCs/>
                <w:kern w:val="0"/>
                <w:sz w:val="20"/>
                <w:szCs w:val="21"/>
                <w:lang w:eastAsia="en-US"/>
              </w:rPr>
              <w:t>条款内容</w:t>
            </w:r>
          </w:p>
        </w:tc>
        <w:tc>
          <w:tcPr>
            <w:tcW w:w="6698" w:type="dxa"/>
            <w:tcBorders>
              <w:top w:val="single" w:color="000000" w:sz="4" w:space="0"/>
              <w:left w:val="single" w:color="000000" w:sz="4" w:space="0"/>
              <w:bottom w:val="single" w:color="000000" w:sz="4" w:space="0"/>
              <w:right w:val="single" w:color="000000" w:sz="4" w:space="0"/>
            </w:tcBorders>
          </w:tcPr>
          <w:p>
            <w:pPr>
              <w:spacing w:before="74"/>
              <w:jc w:val="center"/>
              <w:rPr>
                <w:rFonts w:ascii="宋体" w:hAnsi="宋体" w:eastAsia="宋体" w:cs="宋体"/>
                <w:kern w:val="0"/>
                <w:sz w:val="20"/>
                <w:szCs w:val="21"/>
                <w:lang w:eastAsia="en-US"/>
              </w:rPr>
            </w:pPr>
            <w:r>
              <w:rPr>
                <w:rFonts w:ascii="宋体" w:hAnsi="宋体" w:eastAsia="宋体" w:cs="宋体"/>
                <w:b/>
                <w:bCs/>
                <w:kern w:val="0"/>
                <w:sz w:val="20"/>
                <w:szCs w:val="21"/>
                <w:lang w:eastAsia="en-US"/>
              </w:rPr>
              <w:t>编列内容</w:t>
            </w:r>
          </w:p>
        </w:tc>
      </w:tr>
      <w:tr>
        <w:tblPrEx>
          <w:tblLayout w:type="fixed"/>
          <w:tblCellMar>
            <w:top w:w="0" w:type="dxa"/>
            <w:left w:w="0" w:type="dxa"/>
            <w:bottom w:w="0" w:type="dxa"/>
            <w:right w:w="0" w:type="dxa"/>
          </w:tblCellMar>
        </w:tblPrEx>
        <w:trPr>
          <w:trHeight w:val="3090" w:hRule="exact"/>
        </w:trPr>
        <w:tc>
          <w:tcPr>
            <w:tcW w:w="989"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kern w:val="0"/>
                <w:sz w:val="20"/>
                <w:szCs w:val="20"/>
                <w:lang w:eastAsia="en-US"/>
              </w:rPr>
            </w:pPr>
          </w:p>
          <w:p>
            <w:pPr>
              <w:jc w:val="left"/>
              <w:rPr>
                <w:rFonts w:ascii="宋体" w:hAnsi="宋体" w:eastAsia="宋体" w:cs="宋体"/>
                <w:kern w:val="0"/>
                <w:sz w:val="20"/>
                <w:szCs w:val="20"/>
                <w:lang w:eastAsia="en-US"/>
              </w:rPr>
            </w:pPr>
          </w:p>
          <w:p>
            <w:pPr>
              <w:jc w:val="left"/>
              <w:rPr>
                <w:rFonts w:ascii="宋体" w:hAnsi="宋体" w:eastAsia="宋体" w:cs="宋体"/>
                <w:kern w:val="0"/>
                <w:sz w:val="20"/>
                <w:szCs w:val="20"/>
                <w:lang w:eastAsia="en-US"/>
              </w:rPr>
            </w:pPr>
          </w:p>
          <w:p>
            <w:pPr>
              <w:jc w:val="left"/>
              <w:rPr>
                <w:rFonts w:ascii="宋体" w:hAnsi="宋体" w:eastAsia="宋体" w:cs="宋体"/>
                <w:kern w:val="0"/>
                <w:sz w:val="20"/>
                <w:szCs w:val="20"/>
                <w:lang w:eastAsia="en-US"/>
              </w:rPr>
            </w:pPr>
          </w:p>
          <w:p>
            <w:pPr>
              <w:spacing w:before="173"/>
              <w:jc w:val="center"/>
              <w:rPr>
                <w:rFonts w:ascii="Times New Roman" w:hAnsi="Times New Roman" w:eastAsia="Times New Roman" w:cs="Times New Roman"/>
                <w:kern w:val="0"/>
                <w:sz w:val="20"/>
                <w:szCs w:val="21"/>
                <w:lang w:eastAsia="en-US"/>
              </w:rPr>
            </w:pPr>
            <w:r>
              <w:rPr>
                <w:rFonts w:ascii="Times New Roman" w:hAnsi="Calibri" w:eastAsia="宋体" w:cs="Times New Roman"/>
                <w:kern w:val="0"/>
                <w:sz w:val="20"/>
                <w:szCs w:val="20"/>
                <w:lang w:eastAsia="en-US"/>
              </w:rPr>
              <w:t>2.2.1</w:t>
            </w:r>
          </w:p>
        </w:tc>
        <w:tc>
          <w:tcPr>
            <w:tcW w:w="1279"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宋体"/>
                <w:kern w:val="0"/>
                <w:sz w:val="22"/>
                <w:szCs w:val="20"/>
              </w:rPr>
            </w:pPr>
          </w:p>
          <w:p>
            <w:pPr>
              <w:jc w:val="left"/>
              <w:rPr>
                <w:rFonts w:ascii="宋体" w:hAnsi="宋体" w:eastAsia="宋体" w:cs="宋体"/>
                <w:kern w:val="0"/>
                <w:sz w:val="22"/>
                <w:szCs w:val="20"/>
              </w:rPr>
            </w:pPr>
          </w:p>
          <w:p>
            <w:pPr>
              <w:jc w:val="left"/>
              <w:rPr>
                <w:rFonts w:ascii="宋体" w:hAnsi="宋体" w:eastAsia="宋体" w:cs="宋体"/>
                <w:kern w:val="0"/>
                <w:sz w:val="22"/>
                <w:szCs w:val="20"/>
              </w:rPr>
            </w:pPr>
          </w:p>
          <w:p>
            <w:pPr>
              <w:spacing w:before="154"/>
              <w:jc w:val="center"/>
              <w:rPr>
                <w:rFonts w:ascii="宋体" w:hAnsi="宋体" w:eastAsia="宋体" w:cs="宋体"/>
                <w:kern w:val="0"/>
                <w:sz w:val="11"/>
                <w:szCs w:val="11"/>
              </w:rPr>
            </w:pPr>
            <w:r>
              <w:rPr>
                <w:rFonts w:ascii="宋体" w:hAnsi="宋体" w:eastAsia="宋体" w:cs="宋体"/>
                <w:kern w:val="0"/>
                <w:sz w:val="20"/>
                <w:szCs w:val="21"/>
              </w:rPr>
              <w:t>分值构成</w:t>
            </w:r>
          </w:p>
          <w:p>
            <w:pPr>
              <w:spacing w:before="104"/>
              <w:jc w:val="center"/>
              <w:rPr>
                <w:rFonts w:ascii="Times New Roman" w:hAnsi="Times New Roman" w:eastAsia="Times New Roman" w:cs="Times New Roman"/>
                <w:kern w:val="0"/>
                <w:sz w:val="20"/>
                <w:szCs w:val="21"/>
              </w:rPr>
            </w:pPr>
            <w:r>
              <w:rPr>
                <w:rFonts w:ascii="宋体" w:hAnsi="宋体" w:eastAsia="宋体" w:cs="宋体"/>
                <w:kern w:val="0"/>
                <w:sz w:val="20"/>
                <w:szCs w:val="21"/>
              </w:rPr>
              <w:t>（总分</w:t>
            </w:r>
            <w:r>
              <w:rPr>
                <w:rFonts w:ascii="Times New Roman" w:hAnsi="Times New Roman" w:eastAsia="Times New Roman" w:cs="Times New Roman"/>
                <w:kern w:val="0"/>
                <w:sz w:val="20"/>
                <w:szCs w:val="21"/>
              </w:rPr>
              <w:t>100</w:t>
            </w:r>
          </w:p>
          <w:p>
            <w:pPr>
              <w:spacing w:before="88"/>
              <w:ind w:left="2"/>
              <w:jc w:val="center"/>
              <w:rPr>
                <w:rFonts w:ascii="宋体" w:hAnsi="宋体" w:eastAsia="宋体" w:cs="宋体"/>
                <w:kern w:val="0"/>
                <w:sz w:val="20"/>
                <w:szCs w:val="21"/>
              </w:rPr>
            </w:pPr>
            <w:r>
              <w:rPr>
                <w:rFonts w:ascii="宋体" w:hAnsi="宋体" w:eastAsia="宋体" w:cs="宋体"/>
                <w:kern w:val="0"/>
                <w:sz w:val="20"/>
                <w:szCs w:val="21"/>
              </w:rPr>
              <w:t>分）</w:t>
            </w:r>
          </w:p>
          <w:p>
            <w:pPr>
              <w:spacing w:before="88"/>
              <w:ind w:left="2"/>
              <w:jc w:val="center"/>
              <w:rPr>
                <w:rFonts w:ascii="宋体" w:hAnsi="宋体" w:eastAsia="宋体" w:cs="宋体"/>
                <w:kern w:val="0"/>
                <w:sz w:val="20"/>
                <w:szCs w:val="21"/>
                <w:vertAlign w:val="superscript"/>
              </w:rPr>
            </w:pPr>
          </w:p>
        </w:tc>
        <w:tc>
          <w:tcPr>
            <w:tcW w:w="6698" w:type="dxa"/>
            <w:tcBorders>
              <w:top w:val="single" w:color="000000" w:sz="4" w:space="0"/>
              <w:left w:val="single" w:color="000000" w:sz="4" w:space="0"/>
              <w:bottom w:val="single" w:color="000000" w:sz="4" w:space="0"/>
              <w:right w:val="single" w:color="000000" w:sz="4" w:space="0"/>
            </w:tcBorders>
          </w:tcPr>
          <w:p>
            <w:pPr>
              <w:spacing w:line="360" w:lineRule="auto"/>
              <w:ind w:left="439" w:leftChars="209" w:firstLine="1"/>
              <w:jc w:val="left"/>
              <w:rPr>
                <w:rFonts w:ascii="宋体" w:hAnsi="宋体" w:eastAsia="宋体" w:cs="Times New Roman"/>
                <w:kern w:val="0"/>
                <w:sz w:val="20"/>
                <w:szCs w:val="20"/>
              </w:rPr>
            </w:pPr>
            <w:r>
              <w:rPr>
                <w:rFonts w:hint="eastAsia" w:ascii="宋体" w:hAnsi="宋体" w:eastAsia="宋体" w:cs="Times New Roman"/>
                <w:b/>
                <w:bCs/>
                <w:kern w:val="0"/>
                <w:sz w:val="20"/>
                <w:szCs w:val="20"/>
              </w:rPr>
              <w:t>第一个信封（商务及技术文件）评分分值构成：</w:t>
            </w:r>
          </w:p>
          <w:p>
            <w:pPr>
              <w:spacing w:line="360" w:lineRule="auto"/>
              <w:ind w:left="439" w:leftChars="209" w:firstLine="1"/>
              <w:jc w:val="left"/>
              <w:rPr>
                <w:rFonts w:ascii="宋体" w:hAnsi="宋体" w:eastAsia="宋体" w:cs="Times New Roman"/>
                <w:kern w:val="0"/>
                <w:sz w:val="20"/>
                <w:szCs w:val="20"/>
              </w:rPr>
            </w:pPr>
            <w:r>
              <w:rPr>
                <w:rFonts w:hint="eastAsia" w:ascii="宋体" w:hAnsi="宋体" w:eastAsia="宋体" w:cs="Times New Roman"/>
                <w:kern w:val="0"/>
                <w:sz w:val="20"/>
                <w:szCs w:val="20"/>
              </w:rPr>
              <w:t>主要人员：</w:t>
            </w:r>
            <w:r>
              <w:rPr>
                <w:rFonts w:hint="eastAsia" w:ascii="宋体" w:hAnsi="宋体" w:eastAsia="宋体" w:cs="Times New Roman"/>
                <w:kern w:val="0"/>
                <w:sz w:val="20"/>
                <w:szCs w:val="20"/>
                <w:u w:val="single"/>
              </w:rPr>
              <w:t>30</w:t>
            </w:r>
            <w:r>
              <w:rPr>
                <w:rFonts w:hint="eastAsia" w:ascii="宋体" w:hAnsi="宋体" w:eastAsia="宋体" w:cs="Times New Roman"/>
                <w:kern w:val="0"/>
                <w:sz w:val="20"/>
                <w:szCs w:val="20"/>
              </w:rPr>
              <w:t>分</w:t>
            </w:r>
          </w:p>
          <w:p>
            <w:pPr>
              <w:spacing w:line="360" w:lineRule="auto"/>
              <w:ind w:left="439" w:leftChars="209" w:firstLine="1"/>
              <w:jc w:val="left"/>
              <w:rPr>
                <w:rFonts w:ascii="宋体" w:hAnsi="宋体" w:eastAsia="宋体" w:cs="Times New Roman"/>
                <w:kern w:val="0"/>
                <w:sz w:val="20"/>
                <w:szCs w:val="20"/>
              </w:rPr>
            </w:pPr>
            <w:r>
              <w:rPr>
                <w:rFonts w:hint="eastAsia" w:ascii="宋体" w:hAnsi="宋体" w:eastAsia="宋体" w:cs="Times New Roman"/>
                <w:kern w:val="0"/>
                <w:sz w:val="20"/>
                <w:szCs w:val="20"/>
              </w:rPr>
              <w:t>技术能力：</w:t>
            </w:r>
            <w:r>
              <w:rPr>
                <w:rFonts w:hint="eastAsia" w:ascii="宋体" w:hAnsi="宋体" w:eastAsia="宋体" w:cs="Times New Roman"/>
                <w:kern w:val="0"/>
                <w:sz w:val="20"/>
                <w:szCs w:val="20"/>
                <w:u w:val="single"/>
              </w:rPr>
              <w:t>5</w:t>
            </w:r>
            <w:r>
              <w:rPr>
                <w:rFonts w:hint="eastAsia" w:ascii="宋体" w:hAnsi="宋体" w:eastAsia="宋体" w:cs="Times New Roman"/>
                <w:kern w:val="0"/>
                <w:sz w:val="20"/>
                <w:szCs w:val="20"/>
              </w:rPr>
              <w:t>分</w:t>
            </w:r>
          </w:p>
          <w:p>
            <w:pPr>
              <w:spacing w:line="360" w:lineRule="auto"/>
              <w:ind w:left="439" w:leftChars="209" w:firstLine="1"/>
              <w:jc w:val="left"/>
              <w:rPr>
                <w:rFonts w:ascii="宋体" w:hAnsi="宋体" w:eastAsia="宋体" w:cs="Times New Roman"/>
                <w:kern w:val="0"/>
                <w:sz w:val="20"/>
                <w:szCs w:val="20"/>
              </w:rPr>
            </w:pPr>
            <w:r>
              <w:rPr>
                <w:rFonts w:hint="eastAsia" w:ascii="宋体" w:hAnsi="宋体" w:eastAsia="宋体" w:cs="Times New Roman"/>
                <w:kern w:val="0"/>
                <w:sz w:val="20"/>
                <w:szCs w:val="20"/>
              </w:rPr>
              <w:t>业绩：</w:t>
            </w:r>
            <w:r>
              <w:rPr>
                <w:rFonts w:hint="eastAsia" w:ascii="宋体" w:hAnsi="宋体" w:eastAsia="宋体" w:cs="Times New Roman"/>
                <w:kern w:val="0"/>
                <w:sz w:val="20"/>
                <w:szCs w:val="20"/>
                <w:u w:val="single"/>
              </w:rPr>
              <w:t>15</w:t>
            </w:r>
            <w:r>
              <w:rPr>
                <w:rFonts w:hint="eastAsia" w:ascii="宋体" w:hAnsi="宋体" w:eastAsia="宋体" w:cs="Times New Roman"/>
                <w:kern w:val="0"/>
                <w:sz w:val="20"/>
                <w:szCs w:val="20"/>
              </w:rPr>
              <w:t>分</w:t>
            </w:r>
          </w:p>
          <w:p>
            <w:pPr>
              <w:spacing w:line="360" w:lineRule="auto"/>
              <w:ind w:left="439" w:leftChars="209" w:firstLine="1"/>
              <w:jc w:val="left"/>
              <w:rPr>
                <w:rFonts w:ascii="宋体" w:hAnsi="宋体" w:eastAsia="宋体" w:cs="Times New Roman"/>
                <w:kern w:val="0"/>
                <w:sz w:val="20"/>
                <w:szCs w:val="20"/>
              </w:rPr>
            </w:pPr>
            <w:r>
              <w:rPr>
                <w:rFonts w:hint="eastAsia" w:ascii="宋体" w:hAnsi="宋体" w:eastAsia="宋体" w:cs="Times New Roman"/>
                <w:kern w:val="0"/>
                <w:sz w:val="20"/>
                <w:szCs w:val="20"/>
              </w:rPr>
              <w:t>履约信誉：</w:t>
            </w:r>
            <w:r>
              <w:rPr>
                <w:rFonts w:hint="eastAsia" w:ascii="宋体" w:hAnsi="宋体" w:eastAsia="宋体" w:cs="Times New Roman"/>
                <w:kern w:val="0"/>
                <w:sz w:val="20"/>
                <w:szCs w:val="20"/>
                <w:u w:val="single"/>
              </w:rPr>
              <w:t>5</w:t>
            </w:r>
            <w:r>
              <w:rPr>
                <w:rFonts w:hint="eastAsia" w:ascii="宋体" w:hAnsi="宋体" w:eastAsia="宋体" w:cs="Times New Roman"/>
                <w:kern w:val="0"/>
                <w:sz w:val="20"/>
                <w:szCs w:val="20"/>
              </w:rPr>
              <w:t>分</w:t>
            </w:r>
          </w:p>
          <w:p>
            <w:pPr>
              <w:spacing w:line="360" w:lineRule="auto"/>
              <w:ind w:left="439" w:leftChars="209" w:firstLine="1"/>
              <w:jc w:val="left"/>
              <w:rPr>
                <w:rFonts w:ascii="宋体" w:hAnsi="宋体" w:eastAsia="宋体" w:cs="Times New Roman"/>
                <w:kern w:val="0"/>
                <w:sz w:val="20"/>
                <w:szCs w:val="20"/>
              </w:rPr>
            </w:pPr>
            <w:r>
              <w:rPr>
                <w:rFonts w:hint="eastAsia" w:ascii="宋体" w:hAnsi="宋体" w:eastAsia="宋体" w:cs="Times New Roman"/>
                <w:kern w:val="0"/>
                <w:sz w:val="20"/>
                <w:szCs w:val="20"/>
              </w:rPr>
              <w:t>技术建议书：</w:t>
            </w:r>
            <w:r>
              <w:rPr>
                <w:rFonts w:hint="eastAsia" w:ascii="宋体" w:hAnsi="宋体" w:eastAsia="宋体" w:cs="Times New Roman"/>
                <w:kern w:val="0"/>
                <w:sz w:val="20"/>
                <w:szCs w:val="20"/>
                <w:u w:val="single"/>
              </w:rPr>
              <w:t>35</w:t>
            </w:r>
            <w:r>
              <w:rPr>
                <w:rFonts w:hint="eastAsia" w:ascii="宋体" w:hAnsi="宋体" w:eastAsia="宋体" w:cs="Times New Roman"/>
                <w:kern w:val="0"/>
                <w:sz w:val="20"/>
                <w:szCs w:val="20"/>
              </w:rPr>
              <w:t>分</w:t>
            </w:r>
          </w:p>
          <w:p>
            <w:pPr>
              <w:tabs>
                <w:tab w:val="left" w:pos="2630"/>
              </w:tabs>
              <w:spacing w:line="360" w:lineRule="auto"/>
              <w:ind w:left="461" w:right="235"/>
              <w:jc w:val="left"/>
              <w:rPr>
                <w:rFonts w:ascii="宋体" w:hAnsi="宋体" w:eastAsia="宋体" w:cs="宋体"/>
                <w:b/>
                <w:bCs/>
                <w:spacing w:val="-1"/>
                <w:kern w:val="0"/>
                <w:sz w:val="20"/>
                <w:szCs w:val="21"/>
              </w:rPr>
            </w:pPr>
            <w:r>
              <w:rPr>
                <w:rFonts w:ascii="宋体" w:hAnsi="宋体" w:eastAsia="宋体" w:cs="宋体"/>
                <w:b/>
                <w:bCs/>
                <w:spacing w:val="-1"/>
                <w:kern w:val="0"/>
                <w:sz w:val="20"/>
                <w:szCs w:val="21"/>
              </w:rPr>
              <w:t>第二个信封</w:t>
            </w:r>
            <w:r>
              <w:rPr>
                <w:rFonts w:hint="eastAsia" w:ascii="宋体" w:hAnsi="宋体" w:eastAsia="宋体" w:cs="宋体"/>
                <w:b/>
                <w:bCs/>
                <w:spacing w:val="-1"/>
                <w:kern w:val="0"/>
                <w:sz w:val="20"/>
                <w:szCs w:val="21"/>
              </w:rPr>
              <w:t>(报价文件)评分分值构成：</w:t>
            </w:r>
          </w:p>
          <w:p>
            <w:pPr>
              <w:tabs>
                <w:tab w:val="left" w:pos="2630"/>
              </w:tabs>
              <w:spacing w:line="360" w:lineRule="auto"/>
              <w:ind w:left="461" w:right="235"/>
              <w:jc w:val="left"/>
              <w:rPr>
                <w:rFonts w:ascii="宋体" w:hAnsi="宋体" w:eastAsia="宋体" w:cs="宋体"/>
                <w:kern w:val="0"/>
                <w:sz w:val="20"/>
                <w:szCs w:val="21"/>
              </w:rPr>
            </w:pPr>
            <w:r>
              <w:rPr>
                <w:rFonts w:hint="eastAsia" w:ascii="宋体" w:hAnsi="宋体" w:eastAsia="宋体" w:cs="宋体"/>
                <w:spacing w:val="-1"/>
                <w:kern w:val="0"/>
                <w:sz w:val="20"/>
                <w:szCs w:val="21"/>
              </w:rPr>
              <w:t>评标价:</w:t>
            </w:r>
            <w:r>
              <w:rPr>
                <w:rFonts w:hint="eastAsia" w:ascii="宋体" w:hAnsi="宋体" w:eastAsia="宋体" w:cs="宋体"/>
                <w:spacing w:val="-1"/>
                <w:kern w:val="0"/>
                <w:sz w:val="20"/>
                <w:szCs w:val="21"/>
                <w:u w:val="single"/>
              </w:rPr>
              <w:t>10</w:t>
            </w:r>
            <w:r>
              <w:rPr>
                <w:rFonts w:ascii="宋体" w:hAnsi="宋体" w:eastAsia="宋体" w:cs="宋体"/>
                <w:kern w:val="0"/>
                <w:sz w:val="20"/>
                <w:szCs w:val="21"/>
              </w:rPr>
              <w:t>分</w:t>
            </w:r>
          </w:p>
        </w:tc>
      </w:tr>
      <w:tr>
        <w:tblPrEx>
          <w:tblLayout w:type="fixed"/>
          <w:tblCellMar>
            <w:top w:w="0" w:type="dxa"/>
            <w:left w:w="0" w:type="dxa"/>
            <w:bottom w:w="0" w:type="dxa"/>
            <w:right w:w="0" w:type="dxa"/>
          </w:tblCellMar>
        </w:tblPrEx>
        <w:trPr>
          <w:trHeight w:val="9132" w:hRule="exact"/>
        </w:trPr>
        <w:tc>
          <w:tcPr>
            <w:tcW w:w="989" w:type="dxa"/>
            <w:tcBorders>
              <w:top w:val="single" w:color="000000" w:sz="4" w:space="0"/>
              <w:left w:val="single" w:color="000000" w:sz="4" w:space="0"/>
              <w:right w:val="single" w:color="000000" w:sz="4" w:space="0"/>
            </w:tcBorders>
            <w:vAlign w:val="center"/>
          </w:tcPr>
          <w:p>
            <w:pPr>
              <w:jc w:val="center"/>
              <w:rPr>
                <w:rFonts w:ascii="Times New Roman" w:hAnsi="Times New Roman" w:eastAsia="Times New Roman" w:cs="Times New Roman"/>
                <w:kern w:val="0"/>
                <w:sz w:val="20"/>
                <w:szCs w:val="21"/>
                <w:lang w:eastAsia="en-US"/>
              </w:rPr>
            </w:pPr>
            <w:r>
              <w:rPr>
                <w:rFonts w:ascii="Times New Roman" w:hAnsi="Calibri" w:eastAsia="宋体" w:cs="Times New Roman"/>
                <w:kern w:val="0"/>
                <w:sz w:val="20"/>
                <w:szCs w:val="20"/>
                <w:lang w:eastAsia="en-US"/>
              </w:rPr>
              <w:t>2.2.2</w:t>
            </w:r>
          </w:p>
        </w:tc>
        <w:tc>
          <w:tcPr>
            <w:tcW w:w="1279" w:type="dxa"/>
            <w:tcBorders>
              <w:top w:val="single" w:color="000000" w:sz="4" w:space="0"/>
              <w:left w:val="single" w:color="000000" w:sz="4" w:space="0"/>
              <w:right w:val="single" w:color="000000" w:sz="4" w:space="0"/>
            </w:tcBorders>
            <w:vAlign w:val="center"/>
          </w:tcPr>
          <w:p>
            <w:pPr>
              <w:spacing w:line="331" w:lineRule="auto"/>
              <w:ind w:left="181" w:right="105"/>
              <w:jc w:val="center"/>
              <w:rPr>
                <w:rFonts w:ascii="宋体" w:hAnsi="宋体" w:eastAsia="宋体" w:cs="宋体"/>
                <w:kern w:val="0"/>
                <w:sz w:val="20"/>
                <w:szCs w:val="21"/>
                <w:lang w:eastAsia="en-US"/>
              </w:rPr>
            </w:pPr>
            <w:r>
              <w:rPr>
                <w:rFonts w:hint="eastAsia" w:ascii="宋体" w:hAnsi="宋体" w:eastAsia="宋体" w:cs="宋体"/>
                <w:kern w:val="0"/>
                <w:sz w:val="20"/>
                <w:szCs w:val="21"/>
                <w:lang w:eastAsia="en-US"/>
              </w:rPr>
              <w:t>评标价得分计算方法</w:t>
            </w:r>
          </w:p>
        </w:tc>
        <w:tc>
          <w:tcPr>
            <w:tcW w:w="669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eastAsia="宋体" w:cs="Times New Roman"/>
                <w:kern w:val="0"/>
                <w:sz w:val="20"/>
                <w:szCs w:val="20"/>
              </w:rPr>
            </w:pPr>
            <w:r>
              <w:rPr>
                <w:rFonts w:hint="eastAsia" w:ascii="宋体" w:hAnsi="宋体" w:eastAsia="宋体" w:cs="Times New Roman"/>
                <w:kern w:val="0"/>
                <w:sz w:val="20"/>
                <w:szCs w:val="20"/>
              </w:rPr>
              <w:t>评标基准价的计算：在开标现场，招标人将当场计算并宣布评标基准价。</w:t>
            </w:r>
          </w:p>
          <w:p>
            <w:pPr>
              <w:spacing w:line="360" w:lineRule="auto"/>
              <w:ind w:firstLine="200" w:firstLineChars="100"/>
              <w:jc w:val="left"/>
              <w:rPr>
                <w:rFonts w:ascii="宋体" w:hAnsi="宋体" w:eastAsia="宋体" w:cs="Times New Roman"/>
                <w:kern w:val="0"/>
                <w:sz w:val="20"/>
                <w:szCs w:val="20"/>
              </w:rPr>
            </w:pPr>
            <w:r>
              <w:rPr>
                <w:rFonts w:hint="eastAsia" w:ascii="宋体" w:hAnsi="宋体" w:eastAsia="宋体" w:cs="Times New Roman"/>
                <w:kern w:val="0"/>
                <w:sz w:val="20"/>
                <w:szCs w:val="20"/>
              </w:rPr>
              <w:t>（1）评标价的确定：评标价＝投标函文字报价</w:t>
            </w:r>
          </w:p>
          <w:p>
            <w:pPr>
              <w:numPr>
                <w:ilvl w:val="0"/>
                <w:numId w:val="3"/>
              </w:numPr>
              <w:spacing w:line="360" w:lineRule="auto"/>
              <w:ind w:firstLine="200" w:firstLineChars="100"/>
              <w:jc w:val="left"/>
              <w:rPr>
                <w:rFonts w:ascii="宋体" w:hAnsi="宋体" w:eastAsia="宋体" w:cs="Times New Roman"/>
                <w:kern w:val="0"/>
                <w:sz w:val="20"/>
                <w:szCs w:val="20"/>
                <w:lang w:eastAsia="en-US"/>
              </w:rPr>
            </w:pPr>
            <w:r>
              <w:rPr>
                <w:rFonts w:hint="eastAsia" w:ascii="宋体" w:hAnsi="宋体" w:eastAsia="宋体" w:cs="Times New Roman"/>
                <w:kern w:val="0"/>
                <w:sz w:val="20"/>
                <w:szCs w:val="20"/>
                <w:lang w:eastAsia="en-US"/>
              </w:rPr>
              <w:t>评标基准价的计算：</w:t>
            </w:r>
          </w:p>
          <w:p>
            <w:pPr>
              <w:spacing w:line="360" w:lineRule="auto"/>
              <w:ind w:firstLine="480"/>
              <w:jc w:val="left"/>
              <w:rPr>
                <w:rFonts w:ascii="宋体" w:hAnsi="宋体" w:eastAsia="宋体" w:cs="Times New Roman"/>
                <w:kern w:val="0"/>
                <w:sz w:val="20"/>
                <w:szCs w:val="20"/>
              </w:rPr>
            </w:pPr>
            <w:r>
              <w:rPr>
                <w:rFonts w:hint="eastAsia" w:ascii="宋体" w:hAnsi="宋体" w:eastAsia="宋体" w:cs="Times New Roman"/>
                <w:kern w:val="0"/>
                <w:sz w:val="20"/>
                <w:szCs w:val="20"/>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在评标过程中，评标委员会应对招标人计算的评标基准价进行复核，存在计算错误的应予以修正并在评标报告中作出说明。除此之外，评标基准价在整个评标期间保持不变，不随任何因素发生变化。</w:t>
            </w:r>
          </w:p>
          <w:p>
            <w:pPr>
              <w:spacing w:line="360" w:lineRule="auto"/>
              <w:ind w:firstLine="200" w:firstLineChars="100"/>
              <w:jc w:val="left"/>
              <w:rPr>
                <w:rFonts w:ascii="宋体" w:hAnsi="宋体" w:eastAsia="宋体" w:cs="Times New Roman"/>
                <w:kern w:val="0"/>
                <w:sz w:val="20"/>
                <w:szCs w:val="20"/>
              </w:rPr>
            </w:pPr>
            <w:r>
              <w:rPr>
                <w:rFonts w:hint="eastAsia" w:ascii="宋体" w:hAnsi="宋体" w:eastAsia="宋体" w:cs="Times New Roman"/>
                <w:kern w:val="0"/>
                <w:sz w:val="20"/>
                <w:szCs w:val="20"/>
              </w:rPr>
              <w:t>（3）评标价得分计算</w:t>
            </w:r>
          </w:p>
          <w:p>
            <w:pPr>
              <w:spacing w:line="440" w:lineRule="exact"/>
              <w:ind w:firstLine="420" w:firstLineChars="210"/>
              <w:jc w:val="left"/>
              <w:rPr>
                <w:rFonts w:ascii="宋体" w:hAnsi="宋体" w:eastAsia="宋体" w:cs="Times New Roman"/>
                <w:kern w:val="0"/>
                <w:sz w:val="20"/>
                <w:szCs w:val="20"/>
              </w:rPr>
            </w:pPr>
            <w:r>
              <w:rPr>
                <w:rFonts w:ascii="宋体" w:hAnsi="宋体" w:eastAsia="宋体" w:cs="Times New Roman"/>
                <w:kern w:val="0"/>
                <w:sz w:val="20"/>
                <w:szCs w:val="20"/>
              </w:rPr>
              <w:t>当投标人报价等于评标基准价时得满分，每高于评标基准价一个百分点扣1分，每低于评标基准价一个百分点扣0.5分，中间值按比例内插，四舍五入，保留两位小数。</w:t>
            </w:r>
          </w:p>
          <w:p>
            <w:pPr>
              <w:spacing w:line="440" w:lineRule="exact"/>
              <w:ind w:firstLine="420" w:firstLineChars="210"/>
              <w:jc w:val="left"/>
              <w:rPr>
                <w:rFonts w:ascii="宋体" w:hAnsi="宋体" w:eastAsia="宋体" w:cs="Times New Roman"/>
                <w:kern w:val="0"/>
                <w:sz w:val="20"/>
                <w:szCs w:val="20"/>
                <w:lang w:eastAsia="en-US"/>
              </w:rPr>
            </w:pPr>
            <w:r>
              <w:rPr>
                <w:rFonts w:ascii="宋体" w:hAnsi="宋体" w:eastAsia="宋体" w:cs="Times New Roman"/>
                <w:kern w:val="0"/>
                <w:sz w:val="20"/>
                <w:szCs w:val="20"/>
                <w:lang w:eastAsia="en-US"/>
              </w:rPr>
              <w:t>用公式表示如下：</w:t>
            </w:r>
          </w:p>
          <w:p>
            <w:pPr>
              <w:spacing w:line="900" w:lineRule="exact"/>
              <w:ind w:firstLine="220" w:firstLineChars="200"/>
              <w:jc w:val="center"/>
              <w:rPr>
                <w:rFonts w:ascii="Calibri" w:hAnsi="Calibri" w:eastAsia="宋体" w:cs="Calibri"/>
                <w:kern w:val="0"/>
                <w:position w:val="5"/>
                <w:sz w:val="11"/>
                <w:szCs w:val="20"/>
                <w:lang w:eastAsia="en-US"/>
              </w:rPr>
            </w:pPr>
            <w:r>
              <w:rPr>
                <w:rFonts w:ascii="Calibri" w:hAnsi="Calibri" w:eastAsia="宋体" w:cs="Calibri"/>
                <w:kern w:val="0"/>
                <w:position w:val="-24"/>
                <w:sz w:val="11"/>
                <w:szCs w:val="20"/>
              </w:rPr>
              <w:drawing>
                <wp:inline distT="0" distB="0" distL="0" distR="0">
                  <wp:extent cx="2305050" cy="4857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05050" cy="485775"/>
                          </a:xfrm>
                          <a:prstGeom prst="rect">
                            <a:avLst/>
                          </a:prstGeom>
                          <a:noFill/>
                          <a:ln>
                            <a:noFill/>
                          </a:ln>
                        </pic:spPr>
                      </pic:pic>
                    </a:graphicData>
                  </a:graphic>
                </wp:inline>
              </w:drawing>
            </w:r>
          </w:p>
          <w:p>
            <w:pPr>
              <w:adjustRightInd w:val="0"/>
              <w:snapToGrid w:val="0"/>
              <w:spacing w:line="440" w:lineRule="exact"/>
              <w:ind w:firstLine="400" w:firstLineChars="200"/>
              <w:jc w:val="left"/>
              <w:textAlignment w:val="baseline"/>
              <w:rPr>
                <w:rFonts w:ascii="宋体" w:hAnsi="宋体" w:eastAsia="宋体" w:cs="Times New Roman"/>
                <w:kern w:val="0"/>
                <w:sz w:val="20"/>
                <w:szCs w:val="20"/>
              </w:rPr>
            </w:pPr>
            <w:r>
              <w:rPr>
                <w:rFonts w:ascii="宋体" w:hAnsi="宋体" w:eastAsia="宋体" w:cs="Times New Roman"/>
                <w:kern w:val="0"/>
                <w:sz w:val="20"/>
                <w:szCs w:val="20"/>
              </w:rPr>
              <w:t>式中：F</w:t>
            </w:r>
            <w:r>
              <w:rPr>
                <w:rFonts w:ascii="宋体" w:hAnsi="宋体" w:eastAsia="宋体" w:cs="Times New Roman"/>
                <w:kern w:val="0"/>
                <w:sz w:val="20"/>
                <w:szCs w:val="20"/>
                <w:vertAlign w:val="subscript"/>
              </w:rPr>
              <w:t>1</w:t>
            </w:r>
            <w:r>
              <w:rPr>
                <w:rFonts w:ascii="宋体" w:hAnsi="宋体" w:eastAsia="宋体" w:cs="Times New Roman"/>
                <w:kern w:val="0"/>
                <w:sz w:val="20"/>
                <w:szCs w:val="20"/>
              </w:rPr>
              <w:t>=评标价得分；</w:t>
            </w:r>
          </w:p>
          <w:p>
            <w:pPr>
              <w:adjustRightInd w:val="0"/>
              <w:snapToGrid w:val="0"/>
              <w:spacing w:line="440" w:lineRule="exact"/>
              <w:ind w:firstLine="1000" w:firstLineChars="500"/>
              <w:jc w:val="left"/>
              <w:textAlignment w:val="baseline"/>
              <w:rPr>
                <w:rFonts w:ascii="宋体" w:hAnsi="宋体" w:eastAsia="宋体" w:cs="Times New Roman"/>
                <w:kern w:val="0"/>
                <w:sz w:val="20"/>
                <w:szCs w:val="20"/>
              </w:rPr>
            </w:pPr>
            <w:r>
              <w:rPr>
                <w:rFonts w:ascii="宋体" w:hAnsi="宋体" w:eastAsia="宋体" w:cs="Times New Roman"/>
                <w:kern w:val="0"/>
                <w:sz w:val="20"/>
                <w:szCs w:val="20"/>
              </w:rPr>
              <w:t>F=10；</w:t>
            </w:r>
          </w:p>
          <w:p>
            <w:pPr>
              <w:adjustRightInd w:val="0"/>
              <w:snapToGrid w:val="0"/>
              <w:spacing w:line="440" w:lineRule="exact"/>
              <w:ind w:firstLine="1000" w:firstLineChars="500"/>
              <w:jc w:val="left"/>
              <w:textAlignment w:val="baseline"/>
              <w:rPr>
                <w:rFonts w:ascii="宋体" w:hAnsi="宋体" w:eastAsia="宋体" w:cs="Times New Roman"/>
                <w:kern w:val="0"/>
                <w:sz w:val="20"/>
                <w:szCs w:val="20"/>
              </w:rPr>
            </w:pPr>
            <w:r>
              <w:rPr>
                <w:rFonts w:ascii="宋体" w:hAnsi="宋体" w:eastAsia="宋体" w:cs="Times New Roman"/>
                <w:kern w:val="0"/>
                <w:sz w:val="20"/>
                <w:szCs w:val="20"/>
              </w:rPr>
              <w:t>D</w:t>
            </w:r>
            <w:r>
              <w:rPr>
                <w:rFonts w:ascii="宋体" w:hAnsi="宋体" w:eastAsia="宋体" w:cs="Times New Roman"/>
                <w:kern w:val="0"/>
                <w:sz w:val="20"/>
                <w:szCs w:val="20"/>
                <w:vertAlign w:val="subscript"/>
              </w:rPr>
              <w:t>1</w:t>
            </w:r>
            <w:r>
              <w:rPr>
                <w:rFonts w:ascii="宋体" w:hAnsi="宋体" w:eastAsia="宋体" w:cs="Times New Roman"/>
                <w:kern w:val="0"/>
                <w:sz w:val="20"/>
                <w:szCs w:val="20"/>
              </w:rPr>
              <w:t>=投标人评标价；</w:t>
            </w:r>
          </w:p>
          <w:p>
            <w:pPr>
              <w:adjustRightInd w:val="0"/>
              <w:snapToGrid w:val="0"/>
              <w:spacing w:line="440" w:lineRule="exact"/>
              <w:ind w:firstLine="1000" w:firstLineChars="500"/>
              <w:jc w:val="left"/>
              <w:textAlignment w:val="baseline"/>
              <w:rPr>
                <w:rFonts w:ascii="宋体" w:hAnsi="宋体" w:eastAsia="宋体" w:cs="Times New Roman"/>
                <w:kern w:val="0"/>
                <w:sz w:val="20"/>
                <w:szCs w:val="20"/>
              </w:rPr>
            </w:pPr>
            <w:r>
              <w:rPr>
                <w:rFonts w:ascii="宋体" w:hAnsi="宋体" w:eastAsia="宋体" w:cs="Times New Roman"/>
                <w:kern w:val="0"/>
                <w:sz w:val="20"/>
                <w:szCs w:val="20"/>
              </w:rPr>
              <w:t>D=评标基准价；</w:t>
            </w:r>
          </w:p>
          <w:p>
            <w:pPr>
              <w:spacing w:before="34" w:line="314" w:lineRule="auto"/>
              <w:ind w:left="178" w:right="68" w:firstLine="408" w:firstLineChars="204"/>
              <w:jc w:val="left"/>
              <w:rPr>
                <w:rFonts w:ascii="宋体" w:hAnsi="宋体" w:eastAsia="宋体" w:cs="宋体"/>
                <w:kern w:val="0"/>
                <w:sz w:val="20"/>
                <w:szCs w:val="21"/>
              </w:rPr>
            </w:pPr>
            <w:r>
              <w:rPr>
                <w:rFonts w:ascii="宋体" w:hAnsi="宋体" w:eastAsia="宋体" w:cs="Times New Roman"/>
                <w:kern w:val="0"/>
                <w:sz w:val="20"/>
                <w:szCs w:val="20"/>
              </w:rPr>
              <w:t>若D</w:t>
            </w:r>
            <w:r>
              <w:rPr>
                <w:rFonts w:ascii="宋体" w:hAnsi="宋体" w:eastAsia="宋体" w:cs="Times New Roman"/>
                <w:kern w:val="0"/>
                <w:sz w:val="20"/>
                <w:szCs w:val="20"/>
                <w:vertAlign w:val="subscript"/>
              </w:rPr>
              <w:t>1</w:t>
            </w:r>
            <w:r>
              <w:rPr>
                <w:rFonts w:ascii="宋体" w:hAnsi="宋体" w:eastAsia="宋体" w:cs="Times New Roman"/>
                <w:kern w:val="0"/>
                <w:sz w:val="20"/>
                <w:szCs w:val="20"/>
              </w:rPr>
              <w:t>≥D，则E=1；若D</w:t>
            </w:r>
            <w:r>
              <w:rPr>
                <w:rFonts w:ascii="宋体" w:hAnsi="宋体" w:eastAsia="宋体" w:cs="Times New Roman"/>
                <w:kern w:val="0"/>
                <w:sz w:val="20"/>
                <w:szCs w:val="20"/>
                <w:vertAlign w:val="subscript"/>
              </w:rPr>
              <w:t>1</w:t>
            </w:r>
            <w:r>
              <w:rPr>
                <w:rFonts w:ascii="宋体" w:hAnsi="宋体" w:eastAsia="宋体" w:cs="Times New Roman"/>
                <w:kern w:val="0"/>
                <w:sz w:val="20"/>
                <w:szCs w:val="20"/>
              </w:rPr>
              <w:t>&lt;D，则E=0.5。</w:t>
            </w:r>
            <w:r>
              <w:rPr>
                <w:rFonts w:ascii="宋体" w:hAnsi="宋体" w:eastAsia="宋体" w:cs="Times New Roman"/>
                <w:kern w:val="0"/>
                <w:sz w:val="20"/>
                <w:szCs w:val="20"/>
                <w:lang w:eastAsia="en-US"/>
              </w:rPr>
              <w:t>财务得分最低为0分。</w:t>
            </w:r>
          </w:p>
        </w:tc>
      </w:tr>
      <w:tr>
        <w:tblPrEx>
          <w:tblLayout w:type="fixed"/>
          <w:tblCellMar>
            <w:top w:w="0" w:type="dxa"/>
            <w:left w:w="0" w:type="dxa"/>
            <w:bottom w:w="0" w:type="dxa"/>
            <w:right w:w="0" w:type="dxa"/>
          </w:tblCellMar>
        </w:tblPrEx>
        <w:trPr>
          <w:trHeight w:val="12059" w:hRule="exact"/>
        </w:trPr>
        <w:tc>
          <w:tcPr>
            <w:tcW w:w="989" w:type="dxa"/>
            <w:tcBorders>
              <w:top w:val="single" w:color="000000" w:sz="4" w:space="0"/>
              <w:left w:val="single" w:color="000000" w:sz="4" w:space="0"/>
              <w:bottom w:val="single" w:color="000000" w:sz="4" w:space="0"/>
              <w:right w:val="single" w:color="000000" w:sz="4" w:space="0"/>
            </w:tcBorders>
            <w:vAlign w:val="center"/>
          </w:tcPr>
          <w:p>
            <w:pPr>
              <w:ind w:firstLine="210" w:firstLineChars="100"/>
              <w:jc w:val="left"/>
              <w:rPr>
                <w:rFonts w:ascii="Times New Roman" w:hAnsi="Calibri" w:eastAsia="宋体" w:cs="Times New Roman"/>
                <w:kern w:val="0"/>
                <w:sz w:val="20"/>
                <w:szCs w:val="20"/>
                <w:lang w:eastAsia="en-US"/>
              </w:rPr>
            </w:pPr>
            <w:r>
              <w:rPr>
                <w:rFonts w:ascii="Times New Roman" w:hAnsi="Calibri" w:eastAsia="宋体" w:cs="Times New Roman"/>
                <w:w w:val="105"/>
                <w:kern w:val="0"/>
                <w:sz w:val="20"/>
                <w:szCs w:val="20"/>
                <w:lang w:eastAsia="en-US"/>
              </w:rPr>
              <w:t>2.2.3</w:t>
            </w:r>
          </w:p>
        </w:tc>
        <w:tc>
          <w:tcPr>
            <w:tcW w:w="1279" w:type="dxa"/>
            <w:tcBorders>
              <w:top w:val="single" w:color="000000" w:sz="4" w:space="0"/>
              <w:left w:val="single" w:color="000000" w:sz="4" w:space="0"/>
              <w:bottom w:val="single" w:color="000000" w:sz="4" w:space="0"/>
              <w:right w:val="single" w:color="000000" w:sz="4" w:space="0"/>
            </w:tcBorders>
            <w:vAlign w:val="center"/>
          </w:tcPr>
          <w:p>
            <w:pPr>
              <w:spacing w:before="34" w:line="314" w:lineRule="auto"/>
              <w:ind w:left="178" w:right="68"/>
              <w:jc w:val="center"/>
              <w:rPr>
                <w:rFonts w:ascii="宋体" w:hAnsi="宋体" w:eastAsia="宋体" w:cs="宋体"/>
                <w:kern w:val="0"/>
                <w:sz w:val="18"/>
                <w:szCs w:val="21"/>
              </w:rPr>
            </w:pPr>
            <w:r>
              <w:rPr>
                <w:rFonts w:hint="eastAsia" w:ascii="宋体" w:hAnsi="宋体" w:eastAsia="宋体" w:cs="宋体"/>
                <w:spacing w:val="-5"/>
                <w:kern w:val="0"/>
                <w:sz w:val="18"/>
                <w:szCs w:val="21"/>
              </w:rPr>
              <w:t>商务及技术标得分评分办法</w:t>
            </w:r>
          </w:p>
        </w:tc>
        <w:tc>
          <w:tcPr>
            <w:tcW w:w="6698"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ascii="宋体" w:hAnsi="宋体" w:eastAsia="宋体" w:cs="Times New Roman"/>
                <w:kern w:val="0"/>
                <w:sz w:val="18"/>
                <w:szCs w:val="20"/>
              </w:rPr>
            </w:pPr>
            <w:r>
              <w:rPr>
                <w:rFonts w:hint="eastAsia" w:ascii="宋体" w:hAnsi="宋体" w:eastAsia="宋体" w:cs="Times New Roman"/>
                <w:kern w:val="0"/>
                <w:sz w:val="18"/>
                <w:szCs w:val="20"/>
              </w:rPr>
              <w:t>主要内容和分值范围如下：</w:t>
            </w:r>
          </w:p>
          <w:p>
            <w:pPr>
              <w:spacing w:line="300" w:lineRule="exact"/>
              <w:jc w:val="left"/>
              <w:rPr>
                <w:rFonts w:ascii="宋体" w:hAnsi="宋体" w:eastAsia="宋体" w:cs="Times New Roman"/>
                <w:kern w:val="0"/>
                <w:sz w:val="18"/>
                <w:szCs w:val="20"/>
              </w:rPr>
            </w:pPr>
            <w:r>
              <w:rPr>
                <w:rFonts w:hint="eastAsia" w:ascii="宋体" w:hAnsi="宋体" w:eastAsia="宋体" w:cs="Times New Roman"/>
                <w:kern w:val="0"/>
                <w:sz w:val="18"/>
                <w:szCs w:val="20"/>
              </w:rPr>
              <w:t>(1)主要人员  30分</w:t>
            </w:r>
          </w:p>
          <w:p>
            <w:pPr>
              <w:spacing w:line="300" w:lineRule="exact"/>
              <w:ind w:firstLine="318" w:firstLineChars="177"/>
              <w:jc w:val="left"/>
              <w:rPr>
                <w:rFonts w:ascii="宋体" w:hAnsi="宋体" w:eastAsia="宋体" w:cs="Times New Roman"/>
                <w:kern w:val="0"/>
                <w:sz w:val="18"/>
                <w:szCs w:val="20"/>
              </w:rPr>
            </w:pPr>
            <w:r>
              <w:rPr>
                <w:rFonts w:hint="eastAsia" w:ascii="宋体" w:hAnsi="宋体" w:eastAsia="宋体" w:cs="Times New Roman"/>
                <w:kern w:val="0"/>
                <w:sz w:val="18"/>
                <w:szCs w:val="20"/>
              </w:rPr>
              <w:t>a）总监理工程师为投标人自有人员且资格达到资格审查强制性条件最低要求的，得基本分10分。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总监理工程师在达到资格审查强制性条件最低要求业绩的基础上，每增加1项5km二级及以上等级公路工程总监、副总监、驻地监理工程师、副驻地监理工程师职务加1分，最多加5分。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b）备选总监理工程师为投标人自有人员且资格达到资格审查强制性条件最低要求的，得基本分10分。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总监理工程师在达到资格审查强制性条件最低要求业绩的基础上，每增加1项5km二级及以上等级公路工程总监、副总监、驻地监理工程师、副驻地监理工程师职务加1分，最多加5分。</w:t>
            </w:r>
          </w:p>
          <w:p>
            <w:pPr>
              <w:spacing w:before="34" w:line="300" w:lineRule="exact"/>
              <w:ind w:right="68"/>
              <w:rPr>
                <w:rFonts w:ascii="宋体" w:hAnsi="宋体" w:eastAsia="宋体" w:cs="Times New Roman"/>
                <w:kern w:val="0"/>
                <w:sz w:val="18"/>
                <w:szCs w:val="20"/>
              </w:rPr>
            </w:pPr>
            <w:r>
              <w:rPr>
                <w:rFonts w:hint="eastAsia" w:ascii="宋体" w:hAnsi="宋体" w:eastAsia="宋体" w:cs="Times New Roman"/>
                <w:kern w:val="0"/>
                <w:sz w:val="18"/>
                <w:szCs w:val="20"/>
              </w:rPr>
              <w:t>(2)技术能力  5分</w:t>
            </w:r>
          </w:p>
          <w:p>
            <w:pPr>
              <w:spacing w:before="34" w:line="300" w:lineRule="exact"/>
              <w:ind w:right="68" w:firstLine="360" w:firstLineChars="200"/>
              <w:rPr>
                <w:rFonts w:ascii="宋体" w:hAnsi="宋体" w:eastAsia="宋体" w:cs="Times New Roman"/>
                <w:kern w:val="0"/>
                <w:sz w:val="18"/>
                <w:szCs w:val="20"/>
              </w:rPr>
            </w:pPr>
            <w:r>
              <w:rPr>
                <w:rFonts w:hint="eastAsia" w:ascii="宋体" w:hAnsi="宋体" w:eastAsia="宋体" w:cs="Times New Roman"/>
                <w:kern w:val="0"/>
                <w:sz w:val="18"/>
                <w:szCs w:val="20"/>
              </w:rPr>
              <w:t>试验、检测设备承诺满足要求的得5分。</w:t>
            </w:r>
          </w:p>
          <w:p>
            <w:pPr>
              <w:spacing w:before="34" w:line="300" w:lineRule="exact"/>
              <w:ind w:right="68"/>
              <w:rPr>
                <w:rFonts w:ascii="宋体" w:hAnsi="宋体" w:eastAsia="宋体" w:cs="Times New Roman"/>
                <w:kern w:val="0"/>
                <w:sz w:val="18"/>
                <w:szCs w:val="20"/>
              </w:rPr>
            </w:pPr>
            <w:r>
              <w:rPr>
                <w:rFonts w:hint="eastAsia" w:ascii="宋体" w:hAnsi="宋体" w:eastAsia="宋体" w:cs="Times New Roman"/>
                <w:kern w:val="0"/>
                <w:sz w:val="18"/>
                <w:szCs w:val="20"/>
              </w:rPr>
              <w:t>(3)监理业绩15分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满足资格审查基本要求，得基本分10分。近3年每增加1项5km二级及以上等级公路工程监理业绩加1分，最多加5分。</w:t>
            </w:r>
          </w:p>
          <w:p>
            <w:pPr>
              <w:spacing w:before="34" w:line="300" w:lineRule="exact"/>
              <w:ind w:right="68"/>
              <w:rPr>
                <w:rFonts w:ascii="宋体" w:hAnsi="宋体" w:eastAsia="宋体" w:cs="Times New Roman"/>
                <w:kern w:val="0"/>
                <w:sz w:val="18"/>
                <w:szCs w:val="20"/>
              </w:rPr>
            </w:pPr>
            <w:r>
              <w:rPr>
                <w:rFonts w:hint="eastAsia" w:ascii="宋体" w:hAnsi="宋体" w:eastAsia="宋体" w:cs="Times New Roman"/>
                <w:kern w:val="0"/>
                <w:sz w:val="18"/>
                <w:szCs w:val="20"/>
              </w:rPr>
              <w:t>(4)履约信誉（5分）</w:t>
            </w:r>
          </w:p>
          <w:p>
            <w:pPr>
              <w:spacing w:before="34" w:line="300" w:lineRule="exact"/>
              <w:ind w:right="68"/>
              <w:rPr>
                <w:rFonts w:ascii="宋体" w:hAnsi="宋体" w:eastAsia="宋体" w:cs="Times New Roman"/>
                <w:kern w:val="0"/>
                <w:sz w:val="18"/>
                <w:szCs w:val="20"/>
              </w:rPr>
            </w:pPr>
            <w:r>
              <w:rPr>
                <w:rFonts w:hint="eastAsia" w:ascii="宋体" w:hAnsi="宋体" w:eastAsia="宋体" w:cs="Times New Roman"/>
                <w:kern w:val="0"/>
                <w:sz w:val="18"/>
                <w:szCs w:val="20"/>
              </w:rPr>
              <w:t xml:space="preserve">    满足资格审查条件</w:t>
            </w:r>
            <w:r>
              <w:rPr>
                <w:rFonts w:ascii="宋体" w:hAnsi="宋体" w:eastAsia="宋体" w:cs="Times New Roman"/>
                <w:kern w:val="0"/>
                <w:sz w:val="18"/>
                <w:szCs w:val="20"/>
              </w:rPr>
              <w:t>信誉最低要求</w:t>
            </w:r>
            <w:r>
              <w:rPr>
                <w:rFonts w:hint="eastAsia" w:ascii="宋体" w:hAnsi="宋体" w:eastAsia="宋体" w:cs="Times New Roman"/>
                <w:kern w:val="0"/>
                <w:sz w:val="18"/>
                <w:szCs w:val="20"/>
              </w:rPr>
              <w:t>，得满分5分。</w:t>
            </w:r>
          </w:p>
          <w:p>
            <w:pPr>
              <w:spacing w:before="34" w:line="300" w:lineRule="exact"/>
              <w:ind w:right="68" w:firstLine="360" w:firstLineChars="200"/>
              <w:rPr>
                <w:rFonts w:ascii="宋体" w:hAnsi="宋体" w:eastAsia="宋体" w:cs="Times New Roman"/>
                <w:kern w:val="0"/>
                <w:sz w:val="18"/>
                <w:szCs w:val="20"/>
              </w:rPr>
            </w:pPr>
            <w:r>
              <w:rPr>
                <w:rFonts w:hint="eastAsia" w:ascii="宋体" w:hAnsi="宋体" w:eastAsia="宋体" w:cs="Times New Roman"/>
                <w:kern w:val="0"/>
                <w:sz w:val="18"/>
                <w:szCs w:val="20"/>
              </w:rPr>
              <w:t>若投标人或投标人拟投入的监理人员在交通运输部2018年7月3日发布的《关于公布2017年度公路工程监理信用评价结果的公告》信用评价结果中公布的从业承诺履行状况差或较差，则每次或每人次扣1分，5分扣完为止。</w:t>
            </w:r>
          </w:p>
          <w:p>
            <w:pPr>
              <w:spacing w:before="34" w:line="300" w:lineRule="exact"/>
              <w:ind w:right="68"/>
              <w:rPr>
                <w:rFonts w:ascii="宋体" w:hAnsi="宋体" w:eastAsia="宋体" w:cs="Times New Roman"/>
                <w:kern w:val="0"/>
                <w:sz w:val="18"/>
                <w:szCs w:val="20"/>
              </w:rPr>
            </w:pPr>
            <w:r>
              <w:rPr>
                <w:rFonts w:hint="eastAsia" w:ascii="宋体" w:hAnsi="宋体" w:eastAsia="宋体" w:cs="Times New Roman"/>
                <w:kern w:val="0"/>
                <w:sz w:val="18"/>
                <w:szCs w:val="20"/>
              </w:rPr>
              <w:t>(4)技术建议书评审满分   35分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技术评审主要内容和分值范围如下：</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1)监理工作范围与机构设置5分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提出监理工作范围、机构设置的得3分，监理工作范围描述基本准确，机构设置合理，岗位职责较清晰的得3~4分，监理工作范围描述准确、全面，机构设置合理，岗位职责明确的得4~5分；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2)监理方案和措施15分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提出了监理方案和措施的得10分，监理方案和措施满足基本要求的得10~13分，监理方案和措施合理可行的得13~15分。</w:t>
            </w:r>
          </w:p>
          <w:p>
            <w:pPr>
              <w:spacing w:before="34" w:line="300" w:lineRule="exact"/>
              <w:ind w:right="68" w:firstLine="318" w:firstLineChars="177"/>
              <w:rPr>
                <w:rFonts w:ascii="宋体" w:hAnsi="宋体" w:eastAsia="宋体" w:cs="Times New Roman"/>
                <w:kern w:val="0"/>
                <w:sz w:val="18"/>
                <w:szCs w:val="20"/>
              </w:rPr>
            </w:pPr>
            <w:r>
              <w:rPr>
                <w:rFonts w:hint="eastAsia" w:ascii="宋体" w:hAnsi="宋体" w:eastAsia="宋体" w:cs="Times New Roman"/>
                <w:kern w:val="0"/>
                <w:sz w:val="18"/>
                <w:szCs w:val="20"/>
              </w:rPr>
              <w:t>3)对本工程重点难点分析 10分</w:t>
            </w:r>
          </w:p>
          <w:p>
            <w:pPr>
              <w:spacing w:before="34" w:line="300" w:lineRule="exact"/>
              <w:ind w:right="68" w:firstLine="318" w:firstLineChars="177"/>
              <w:rPr>
                <w:rFonts w:ascii="宋体" w:hAnsi="宋体" w:eastAsia="宋体" w:cs="宋体"/>
                <w:spacing w:val="-5"/>
                <w:kern w:val="0"/>
                <w:sz w:val="18"/>
                <w:szCs w:val="21"/>
              </w:rPr>
            </w:pPr>
            <w:r>
              <w:rPr>
                <w:rFonts w:hint="eastAsia" w:ascii="宋体" w:hAnsi="宋体" w:eastAsia="宋体" w:cs="Times New Roman"/>
                <w:kern w:val="0"/>
                <w:sz w:val="18"/>
                <w:szCs w:val="20"/>
              </w:rPr>
              <w:t>对本工程重点、难点进行了分析的得6分，重点、难点分析基本准确的得6~8分，重点、难点分析较深入的得8~10分。</w:t>
            </w:r>
          </w:p>
          <w:p>
            <w:pPr>
              <w:spacing w:before="34" w:line="300" w:lineRule="exact"/>
              <w:ind w:right="68" w:firstLine="300" w:firstLineChars="177"/>
              <w:rPr>
                <w:rFonts w:ascii="宋体" w:hAnsi="宋体" w:eastAsia="宋体" w:cs="宋体"/>
                <w:spacing w:val="-5"/>
                <w:kern w:val="0"/>
                <w:sz w:val="18"/>
                <w:szCs w:val="21"/>
              </w:rPr>
            </w:pPr>
            <w:r>
              <w:rPr>
                <w:rFonts w:hint="eastAsia" w:ascii="宋体" w:hAnsi="宋体" w:eastAsia="宋体" w:cs="宋体"/>
                <w:spacing w:val="-5"/>
                <w:kern w:val="0"/>
                <w:sz w:val="18"/>
                <w:szCs w:val="21"/>
              </w:rPr>
              <w:t>4)对本工程的建议 5分</w:t>
            </w:r>
          </w:p>
          <w:p>
            <w:pPr>
              <w:spacing w:before="34" w:line="300" w:lineRule="exact"/>
              <w:ind w:right="68" w:firstLine="300" w:firstLineChars="177"/>
              <w:rPr>
                <w:rFonts w:ascii="宋体" w:hAnsi="宋体" w:eastAsia="宋体" w:cs="宋体"/>
                <w:spacing w:val="-5"/>
                <w:kern w:val="0"/>
                <w:sz w:val="18"/>
                <w:szCs w:val="21"/>
              </w:rPr>
            </w:pPr>
            <w:r>
              <w:rPr>
                <w:rFonts w:hint="eastAsia" w:ascii="宋体" w:hAnsi="宋体" w:eastAsia="宋体" w:cs="宋体"/>
                <w:spacing w:val="-5"/>
                <w:kern w:val="0"/>
                <w:sz w:val="18"/>
                <w:szCs w:val="21"/>
              </w:rPr>
              <w:t>对本工程提出了建议的得3分，建议基本合理的得3~4分，建议合理可行的得4~5分。</w:t>
            </w:r>
          </w:p>
        </w:tc>
      </w:tr>
    </w:tbl>
    <w:p>
      <w:pPr>
        <w:spacing w:line="326" w:lineRule="auto"/>
        <w:jc w:val="left"/>
        <w:rPr>
          <w:rFonts w:ascii="宋体" w:hAnsi="宋体" w:eastAsia="宋体" w:cs="宋体"/>
          <w:kern w:val="0"/>
          <w:sz w:val="17"/>
          <w:szCs w:val="17"/>
        </w:rPr>
        <w:sectPr>
          <w:type w:val="continuous"/>
          <w:pgSz w:w="11910" w:h="16840"/>
          <w:pgMar w:top="1580" w:right="1320" w:bottom="280" w:left="1420" w:header="720" w:footer="720" w:gutter="0"/>
          <w:cols w:space="720" w:num="1"/>
        </w:sectPr>
      </w:pPr>
    </w:p>
    <w:p>
      <w:pPr>
        <w:spacing w:line="360" w:lineRule="auto"/>
        <w:ind w:right="1316"/>
        <w:jc w:val="left"/>
        <w:rPr>
          <w:rFonts w:ascii="宋体" w:hAnsi="宋体" w:eastAsia="宋体" w:cs="宋体"/>
          <w:kern w:val="0"/>
          <w:sz w:val="27"/>
          <w:szCs w:val="27"/>
        </w:rPr>
      </w:pPr>
      <w:r>
        <w:rPr>
          <w:rFonts w:ascii="Arial" w:hAnsi="Arial" w:eastAsia="Arial" w:cs="Arial"/>
          <w:kern w:val="0"/>
          <w:sz w:val="26"/>
          <w:szCs w:val="26"/>
        </w:rPr>
        <w:t xml:space="preserve">1.  </w:t>
      </w:r>
      <w:r>
        <w:rPr>
          <w:rFonts w:ascii="宋体" w:hAnsi="宋体" w:eastAsia="宋体" w:cs="宋体"/>
          <w:kern w:val="0"/>
          <w:sz w:val="27"/>
          <w:szCs w:val="27"/>
        </w:rPr>
        <w:t>评标方法</w:t>
      </w:r>
    </w:p>
    <w:p>
      <w:pPr>
        <w:spacing w:line="360" w:lineRule="auto"/>
        <w:ind w:left="146" w:right="96" w:firstLine="440"/>
        <w:jc w:val="left"/>
        <w:rPr>
          <w:rFonts w:ascii="宋体" w:hAnsi="宋体" w:eastAsia="宋体" w:cs="Times New Roman"/>
          <w:kern w:val="0"/>
          <w:sz w:val="23"/>
          <w:szCs w:val="23"/>
        </w:rPr>
      </w:pPr>
      <w:r>
        <w:rPr>
          <w:rFonts w:ascii="宋体" w:hAnsi="宋体" w:eastAsia="宋体" w:cs="Times New Roman"/>
          <w:kern w:val="0"/>
          <w:sz w:val="23"/>
          <w:szCs w:val="23"/>
        </w:rPr>
        <w:t>本次评标采用综合评估法</w:t>
      </w:r>
      <w:r>
        <w:rPr>
          <w:rFonts w:hint="eastAsia" w:ascii="宋体" w:hAnsi="宋体" w:eastAsia="宋体" w:cs="Times New Roman"/>
          <w:kern w:val="0"/>
          <w:sz w:val="23"/>
          <w:szCs w:val="23"/>
        </w:rPr>
        <w:t>。</w:t>
      </w:r>
      <w:r>
        <w:rPr>
          <w:rFonts w:ascii="宋体" w:hAnsi="宋体" w:eastAsia="宋体" w:cs="Times New Roman"/>
          <w:kern w:val="0"/>
          <w:sz w:val="23"/>
          <w:szCs w:val="23"/>
        </w:rPr>
        <w:t>评标委员会对满足招标文件实质性要求的投标文件，按照本章第</w:t>
      </w:r>
      <w:r>
        <w:rPr>
          <w:rFonts w:hint="eastAsia" w:ascii="Times New Roman" w:hAnsi="Times New Roman" w:eastAsia="宋体" w:cs="Times New Roman"/>
          <w:kern w:val="0"/>
          <w:sz w:val="23"/>
          <w:szCs w:val="23"/>
        </w:rPr>
        <w:t>2.2</w:t>
      </w:r>
      <w:r>
        <w:rPr>
          <w:rFonts w:ascii="Times New Roman" w:hAnsi="Times New Roman" w:eastAsia="Times New Roman" w:cs="Times New Roman"/>
          <w:kern w:val="0"/>
          <w:sz w:val="23"/>
          <w:szCs w:val="23"/>
        </w:rPr>
        <w:t xml:space="preserve"> </w:t>
      </w:r>
      <w:r>
        <w:rPr>
          <w:rFonts w:ascii="宋体" w:hAnsi="宋体" w:eastAsia="宋体" w:cs="Times New Roman"/>
          <w:kern w:val="0"/>
          <w:sz w:val="23"/>
          <w:szCs w:val="23"/>
        </w:rPr>
        <w:t>款规定的评分标准进行打分，并按得分由高到低顺序推荐中标候选人，或根据招标人授权直接确定中标人</w:t>
      </w:r>
      <w:r>
        <w:rPr>
          <w:rFonts w:hint="eastAsia" w:ascii="宋体" w:hAnsi="宋体" w:eastAsia="宋体" w:cs="Times New Roman"/>
          <w:kern w:val="0"/>
          <w:sz w:val="23"/>
          <w:szCs w:val="23"/>
        </w:rPr>
        <w:t>，</w:t>
      </w:r>
      <w:r>
        <w:rPr>
          <w:rFonts w:ascii="宋体" w:hAnsi="宋体" w:eastAsia="宋体" w:cs="Times New Roman"/>
          <w:kern w:val="0"/>
          <w:sz w:val="23"/>
          <w:szCs w:val="23"/>
        </w:rPr>
        <w:t>但投标报价低于其成本的除外。综合评分相等时，评标委员会应按照评标办法前附表规定的优先次序推荐中标候选人或确定中标人。</w:t>
      </w:r>
    </w:p>
    <w:p>
      <w:pPr>
        <w:tabs>
          <w:tab w:val="left" w:pos="563"/>
        </w:tabs>
        <w:spacing w:line="360" w:lineRule="auto"/>
        <w:ind w:left="151" w:right="1316"/>
        <w:jc w:val="left"/>
        <w:rPr>
          <w:rFonts w:ascii="宋体" w:hAnsi="宋体" w:eastAsia="宋体" w:cs="宋体"/>
          <w:kern w:val="0"/>
          <w:sz w:val="27"/>
          <w:szCs w:val="27"/>
        </w:rPr>
      </w:pPr>
      <w:r>
        <w:rPr>
          <w:rFonts w:ascii="Arial" w:hAnsi="Arial" w:eastAsia="Arial" w:cs="Arial"/>
          <w:kern w:val="0"/>
          <w:sz w:val="24"/>
          <w:szCs w:val="24"/>
        </w:rPr>
        <w:t>2.</w:t>
      </w:r>
      <w:r>
        <w:rPr>
          <w:rFonts w:ascii="Arial" w:hAnsi="Arial" w:eastAsia="Arial" w:cs="Arial"/>
          <w:kern w:val="0"/>
          <w:sz w:val="24"/>
          <w:szCs w:val="24"/>
        </w:rPr>
        <w:tab/>
      </w:r>
      <w:r>
        <w:rPr>
          <w:rFonts w:ascii="宋体" w:hAnsi="宋体" w:eastAsia="宋体" w:cs="宋体"/>
          <w:kern w:val="0"/>
          <w:sz w:val="27"/>
          <w:szCs w:val="27"/>
        </w:rPr>
        <w:t>评审标准</w:t>
      </w:r>
    </w:p>
    <w:p>
      <w:pPr>
        <w:spacing w:line="360" w:lineRule="auto"/>
        <w:ind w:right="1316" w:firstLine="460" w:firstLineChars="200"/>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2. 1  </w:t>
      </w:r>
      <w:r>
        <w:rPr>
          <w:rFonts w:ascii="宋体" w:hAnsi="宋体" w:eastAsia="宋体" w:cs="Times New Roman"/>
          <w:kern w:val="0"/>
          <w:sz w:val="23"/>
          <w:szCs w:val="23"/>
        </w:rPr>
        <w:t>初步评审标准</w:t>
      </w:r>
    </w:p>
    <w:p>
      <w:pPr>
        <w:spacing w:line="360" w:lineRule="auto"/>
        <w:ind w:right="110" w:firstLine="460" w:firstLineChars="200"/>
        <w:jc w:val="left"/>
        <w:rPr>
          <w:rFonts w:ascii="Times New Roman" w:hAnsi="Times New Roman" w:eastAsia="Times New Roman" w:cs="Times New Roman"/>
          <w:kern w:val="0"/>
          <w:sz w:val="23"/>
          <w:szCs w:val="23"/>
        </w:rPr>
      </w:pPr>
      <w:r>
        <w:rPr>
          <w:rFonts w:ascii="Times New Roman" w:hAnsi="宋体" w:eastAsia="宋体" w:cs="Times New Roman"/>
          <w:kern w:val="0"/>
          <w:sz w:val="23"/>
          <w:szCs w:val="23"/>
        </w:rPr>
        <w:t>2.1.1</w:t>
      </w:r>
      <w:r>
        <w:rPr>
          <w:rFonts w:hint="eastAsia" w:ascii="Times New Roman" w:hAnsi="宋体" w:eastAsia="宋体" w:cs="Times New Roman"/>
          <w:kern w:val="0"/>
          <w:sz w:val="23"/>
          <w:szCs w:val="23"/>
        </w:rPr>
        <w:t>形式评审标准与响应评审标准：</w:t>
      </w:r>
      <w:r>
        <w:rPr>
          <w:rFonts w:ascii="宋体" w:hAnsi="宋体" w:eastAsia="宋体" w:cs="Times New Roman"/>
          <w:kern w:val="0"/>
          <w:sz w:val="23"/>
          <w:szCs w:val="23"/>
        </w:rPr>
        <w:t>见评标办法前附表</w:t>
      </w:r>
      <w:r>
        <w:rPr>
          <w:rFonts w:hint="eastAsia" w:ascii="Times New Roman" w:hAnsi="宋体" w:eastAsia="宋体" w:cs="Times New Roman"/>
          <w:kern w:val="0"/>
          <w:sz w:val="23"/>
          <w:szCs w:val="23"/>
        </w:rPr>
        <w:t>。</w:t>
      </w:r>
    </w:p>
    <w:p>
      <w:pPr>
        <w:spacing w:line="360" w:lineRule="auto"/>
        <w:ind w:right="298" w:firstLine="460" w:firstLineChars="200"/>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2.1.2</w:t>
      </w:r>
      <w:r>
        <w:rPr>
          <w:rFonts w:ascii="宋体" w:hAnsi="宋体" w:eastAsia="宋体" w:cs="Times New Roman"/>
          <w:kern w:val="0"/>
          <w:sz w:val="23"/>
          <w:szCs w:val="23"/>
        </w:rPr>
        <w:t>资格评审标准</w:t>
      </w:r>
      <w:r>
        <w:rPr>
          <w:rFonts w:hint="eastAsia" w:ascii="宋体" w:hAnsi="宋体" w:eastAsia="宋体" w:cs="Times New Roman"/>
          <w:kern w:val="0"/>
          <w:sz w:val="23"/>
          <w:szCs w:val="23"/>
        </w:rPr>
        <w:t>：</w:t>
      </w:r>
      <w:r>
        <w:rPr>
          <w:rFonts w:ascii="宋体" w:hAnsi="宋体" w:eastAsia="宋体" w:cs="Times New Roman"/>
          <w:kern w:val="0"/>
          <w:sz w:val="23"/>
          <w:szCs w:val="23"/>
        </w:rPr>
        <w:t>见评标办法前附表</w:t>
      </w:r>
      <w:r>
        <w:rPr>
          <w:rFonts w:hint="eastAsia" w:ascii="宋体" w:hAnsi="宋体" w:eastAsia="宋体" w:cs="Times New Roman"/>
          <w:kern w:val="0"/>
          <w:sz w:val="23"/>
          <w:szCs w:val="23"/>
        </w:rPr>
        <w:t>；</w:t>
      </w:r>
    </w:p>
    <w:p>
      <w:pPr>
        <w:spacing w:line="360" w:lineRule="auto"/>
        <w:ind w:right="110" w:firstLine="460" w:firstLineChars="200"/>
        <w:jc w:val="left"/>
        <w:rPr>
          <w:rFonts w:ascii="Times New Roman" w:hAnsi="Times New Roman" w:eastAsia="Times New Roman" w:cs="Times New Roman"/>
          <w:kern w:val="0"/>
          <w:sz w:val="23"/>
          <w:szCs w:val="23"/>
        </w:rPr>
      </w:pPr>
      <w:r>
        <w:rPr>
          <w:rFonts w:ascii="Times New Roman" w:hAnsi="宋体" w:eastAsia="宋体" w:cs="Times New Roman"/>
          <w:kern w:val="0"/>
          <w:sz w:val="23"/>
          <w:szCs w:val="23"/>
        </w:rPr>
        <w:t>2.1.3</w:t>
      </w:r>
      <w:r>
        <w:rPr>
          <w:rFonts w:hint="eastAsia" w:ascii="Times New Roman" w:hAnsi="宋体" w:eastAsia="宋体" w:cs="Times New Roman"/>
          <w:kern w:val="0"/>
          <w:sz w:val="23"/>
          <w:szCs w:val="23"/>
        </w:rPr>
        <w:t>形式评审标准与响应评审标准：</w:t>
      </w:r>
      <w:r>
        <w:rPr>
          <w:rFonts w:ascii="宋体" w:hAnsi="宋体" w:eastAsia="宋体" w:cs="Times New Roman"/>
          <w:kern w:val="0"/>
          <w:sz w:val="23"/>
          <w:szCs w:val="23"/>
        </w:rPr>
        <w:t>见评标办法前附表</w:t>
      </w:r>
      <w:r>
        <w:rPr>
          <w:rFonts w:hint="eastAsia" w:ascii="Times New Roman" w:hAnsi="宋体" w:eastAsia="宋体" w:cs="Times New Roman"/>
          <w:kern w:val="0"/>
          <w:sz w:val="23"/>
          <w:szCs w:val="23"/>
        </w:rPr>
        <w:t xml:space="preserve">。  </w:t>
      </w:r>
    </w:p>
    <w:p>
      <w:pPr>
        <w:spacing w:line="360" w:lineRule="auto"/>
        <w:ind w:right="1316"/>
        <w:jc w:val="left"/>
        <w:rPr>
          <w:rFonts w:ascii="宋体" w:hAnsi="宋体" w:eastAsia="宋体" w:cs="宋体"/>
          <w:kern w:val="0"/>
          <w:sz w:val="23"/>
          <w:szCs w:val="23"/>
        </w:rPr>
      </w:pPr>
      <w:r>
        <w:rPr>
          <w:rFonts w:ascii="Arial" w:hAnsi="Arial" w:eastAsia="Arial" w:cs="Arial"/>
          <w:kern w:val="0"/>
          <w:sz w:val="20"/>
          <w:szCs w:val="20"/>
        </w:rPr>
        <w:t xml:space="preserve">2. 2 </w:t>
      </w:r>
      <w:r>
        <w:rPr>
          <w:rFonts w:ascii="宋体" w:hAnsi="宋体" w:eastAsia="宋体" w:cs="宋体"/>
          <w:kern w:val="0"/>
          <w:sz w:val="23"/>
          <w:szCs w:val="23"/>
        </w:rPr>
        <w:t>分值构成与评分标准</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2.2.1  </w:t>
      </w:r>
      <w:r>
        <w:rPr>
          <w:rFonts w:ascii="宋体" w:hAnsi="宋体" w:eastAsia="宋体" w:cs="Times New Roman"/>
          <w:kern w:val="0"/>
          <w:sz w:val="23"/>
          <w:szCs w:val="23"/>
        </w:rPr>
        <w:t>分值构成</w:t>
      </w:r>
    </w:p>
    <w:p>
      <w:pPr>
        <w:spacing w:line="360" w:lineRule="auto"/>
        <w:ind w:right="3318"/>
        <w:jc w:val="left"/>
        <w:rPr>
          <w:rFonts w:ascii="宋体" w:hAnsi="宋体" w:eastAsia="宋体" w:cs="Times New Roman"/>
          <w:kern w:val="0"/>
          <w:sz w:val="23"/>
          <w:szCs w:val="23"/>
        </w:rPr>
      </w:pPr>
      <w:r>
        <w:rPr>
          <w:rFonts w:ascii="宋体" w:hAnsi="宋体" w:eastAsia="宋体" w:cs="Times New Roman"/>
          <w:kern w:val="0"/>
          <w:sz w:val="23"/>
          <w:szCs w:val="23"/>
        </w:rPr>
        <w:t>(1）技术建议书</w:t>
      </w:r>
      <w:r>
        <w:rPr>
          <w:rFonts w:hint="eastAsia" w:ascii="宋体" w:hAnsi="宋体" w:eastAsia="宋体" w:cs="Times New Roman"/>
          <w:kern w:val="0"/>
          <w:sz w:val="23"/>
          <w:szCs w:val="23"/>
        </w:rPr>
        <w:t>：</w:t>
      </w:r>
      <w:r>
        <w:rPr>
          <w:rFonts w:ascii="宋体" w:hAnsi="宋体" w:eastAsia="宋体" w:cs="Times New Roman"/>
          <w:kern w:val="0"/>
          <w:sz w:val="23"/>
          <w:szCs w:val="23"/>
        </w:rPr>
        <w:t>见评标办法前附表</w:t>
      </w:r>
      <w:r>
        <w:rPr>
          <w:rFonts w:hint="eastAsia" w:ascii="宋体" w:hAnsi="宋体" w:eastAsia="宋体" w:cs="Times New Roman"/>
          <w:kern w:val="0"/>
          <w:sz w:val="23"/>
          <w:szCs w:val="23"/>
        </w:rPr>
        <w:t>；</w:t>
      </w:r>
    </w:p>
    <w:p>
      <w:pPr>
        <w:spacing w:line="360" w:lineRule="auto"/>
        <w:ind w:right="3318"/>
        <w:jc w:val="left"/>
        <w:rPr>
          <w:rFonts w:ascii="宋体" w:hAnsi="宋体" w:eastAsia="宋体" w:cs="Times New Roman"/>
          <w:kern w:val="0"/>
          <w:sz w:val="23"/>
          <w:szCs w:val="23"/>
        </w:rPr>
      </w:pPr>
      <w:r>
        <w:rPr>
          <w:rFonts w:hint="eastAsia" w:ascii="宋体" w:hAnsi="宋体" w:eastAsia="宋体" w:cs="Times New Roman"/>
          <w:kern w:val="0"/>
          <w:sz w:val="23"/>
          <w:szCs w:val="23"/>
        </w:rPr>
        <w:t>（2）</w:t>
      </w:r>
      <w:r>
        <w:rPr>
          <w:rFonts w:ascii="宋体" w:hAnsi="宋体" w:eastAsia="宋体" w:cs="Times New Roman"/>
          <w:kern w:val="0"/>
          <w:sz w:val="23"/>
          <w:szCs w:val="23"/>
        </w:rPr>
        <w:t>主要人员</w:t>
      </w:r>
      <w:r>
        <w:rPr>
          <w:rFonts w:hint="eastAsia" w:ascii="宋体" w:hAnsi="宋体" w:eastAsia="宋体" w:cs="Times New Roman"/>
          <w:kern w:val="0"/>
          <w:sz w:val="23"/>
          <w:szCs w:val="23"/>
        </w:rPr>
        <w:t>：</w:t>
      </w:r>
      <w:r>
        <w:rPr>
          <w:rFonts w:ascii="宋体" w:hAnsi="宋体" w:eastAsia="宋体" w:cs="Times New Roman"/>
          <w:kern w:val="0"/>
          <w:sz w:val="23"/>
          <w:szCs w:val="23"/>
        </w:rPr>
        <w:t>见评标办法前附表</w:t>
      </w:r>
      <w:r>
        <w:rPr>
          <w:rFonts w:hint="eastAsia" w:ascii="宋体" w:hAnsi="宋体" w:eastAsia="宋体" w:cs="Times New Roman"/>
          <w:kern w:val="0"/>
          <w:sz w:val="23"/>
          <w:szCs w:val="23"/>
        </w:rPr>
        <w:t>；</w:t>
      </w:r>
    </w:p>
    <w:p>
      <w:pPr>
        <w:spacing w:line="360" w:lineRule="auto"/>
        <w:ind w:right="3318"/>
        <w:jc w:val="left"/>
        <w:rPr>
          <w:rFonts w:ascii="宋体" w:hAnsi="宋体" w:eastAsia="宋体" w:cs="Times New Roman"/>
          <w:kern w:val="0"/>
          <w:sz w:val="23"/>
          <w:szCs w:val="23"/>
        </w:rPr>
      </w:pPr>
      <w:r>
        <w:rPr>
          <w:rFonts w:hint="eastAsia" w:ascii="宋体" w:hAnsi="宋体" w:eastAsia="宋体" w:cs="Times New Roman"/>
          <w:kern w:val="0"/>
          <w:sz w:val="23"/>
          <w:szCs w:val="23"/>
        </w:rPr>
        <w:t>（3）</w:t>
      </w:r>
      <w:r>
        <w:rPr>
          <w:rFonts w:ascii="宋体" w:hAnsi="宋体" w:eastAsia="宋体" w:cs="Times New Roman"/>
          <w:kern w:val="0"/>
          <w:sz w:val="23"/>
          <w:szCs w:val="23"/>
        </w:rPr>
        <w:t>评标价</w:t>
      </w:r>
      <w:r>
        <w:rPr>
          <w:rFonts w:hint="eastAsia" w:ascii="宋体" w:hAnsi="宋体" w:eastAsia="宋体" w:cs="Times New Roman"/>
          <w:kern w:val="0"/>
          <w:sz w:val="23"/>
          <w:szCs w:val="23"/>
        </w:rPr>
        <w:t>：</w:t>
      </w:r>
      <w:r>
        <w:rPr>
          <w:rFonts w:ascii="宋体" w:hAnsi="宋体" w:eastAsia="宋体" w:cs="Times New Roman"/>
          <w:kern w:val="0"/>
          <w:sz w:val="23"/>
          <w:szCs w:val="23"/>
        </w:rPr>
        <w:t>见评标办法前附表</w:t>
      </w:r>
      <w:r>
        <w:rPr>
          <w:rFonts w:hint="eastAsia" w:ascii="宋体" w:hAnsi="宋体" w:eastAsia="宋体" w:cs="Times New Roman"/>
          <w:kern w:val="0"/>
          <w:sz w:val="23"/>
          <w:szCs w:val="23"/>
        </w:rPr>
        <w:t>；</w:t>
      </w:r>
    </w:p>
    <w:p>
      <w:pPr>
        <w:spacing w:line="360" w:lineRule="auto"/>
        <w:ind w:right="3318"/>
        <w:jc w:val="left"/>
        <w:rPr>
          <w:rFonts w:ascii="宋体" w:hAnsi="宋体" w:eastAsia="宋体" w:cs="Times New Roman"/>
          <w:kern w:val="0"/>
          <w:sz w:val="23"/>
          <w:szCs w:val="23"/>
        </w:rPr>
      </w:pPr>
      <w:r>
        <w:rPr>
          <w:rFonts w:hint="eastAsia" w:ascii="宋体" w:hAnsi="宋体" w:eastAsia="宋体" w:cs="Times New Roman"/>
          <w:kern w:val="0"/>
          <w:sz w:val="23"/>
          <w:szCs w:val="23"/>
        </w:rPr>
        <w:t>（4）</w:t>
      </w:r>
      <w:r>
        <w:rPr>
          <w:rFonts w:ascii="宋体" w:hAnsi="宋体" w:eastAsia="宋体" w:cs="Times New Roman"/>
          <w:kern w:val="0"/>
          <w:sz w:val="23"/>
          <w:szCs w:val="23"/>
        </w:rPr>
        <w:t>其他评分因素</w:t>
      </w:r>
      <w:r>
        <w:rPr>
          <w:rFonts w:hint="eastAsia" w:ascii="宋体" w:hAnsi="宋体" w:eastAsia="宋体" w:cs="Times New Roman"/>
          <w:kern w:val="0"/>
          <w:sz w:val="23"/>
          <w:szCs w:val="23"/>
        </w:rPr>
        <w:t>：</w:t>
      </w:r>
      <w:r>
        <w:rPr>
          <w:rFonts w:ascii="宋体" w:hAnsi="宋体" w:eastAsia="宋体" w:cs="Times New Roman"/>
          <w:kern w:val="0"/>
          <w:sz w:val="23"/>
          <w:szCs w:val="23"/>
        </w:rPr>
        <w:t>见评标办法前附表。</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2.2.2 </w:t>
      </w:r>
      <w:r>
        <w:rPr>
          <w:rFonts w:ascii="宋体" w:hAnsi="宋体" w:eastAsia="宋体" w:cs="Times New Roman"/>
          <w:kern w:val="0"/>
          <w:sz w:val="23"/>
          <w:szCs w:val="23"/>
        </w:rPr>
        <w:t>评标基准价计算</w:t>
      </w:r>
    </w:p>
    <w:p>
      <w:pPr>
        <w:spacing w:line="360" w:lineRule="auto"/>
        <w:ind w:right="1316"/>
        <w:jc w:val="left"/>
        <w:rPr>
          <w:rFonts w:ascii="宋体" w:hAnsi="宋体" w:eastAsia="宋体" w:cs="Times New Roman"/>
          <w:kern w:val="0"/>
          <w:sz w:val="23"/>
          <w:szCs w:val="23"/>
        </w:rPr>
      </w:pPr>
      <w:r>
        <w:rPr>
          <w:rFonts w:hint="eastAsia" w:ascii="宋体" w:hAnsi="宋体" w:eastAsia="宋体" w:cs="Times New Roman"/>
          <w:kern w:val="0"/>
          <w:sz w:val="23"/>
          <w:szCs w:val="23"/>
        </w:rPr>
        <w:t>评标基准价计算：见评标办法前附表</w:t>
      </w:r>
    </w:p>
    <w:p>
      <w:pPr>
        <w:spacing w:line="360" w:lineRule="auto"/>
        <w:ind w:right="3208"/>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2.2.3 </w:t>
      </w:r>
      <w:r>
        <w:rPr>
          <w:rFonts w:ascii="宋体" w:hAnsi="宋体" w:eastAsia="宋体" w:cs="Times New Roman"/>
          <w:kern w:val="0"/>
          <w:sz w:val="23"/>
          <w:szCs w:val="23"/>
        </w:rPr>
        <w:t xml:space="preserve">评标价的偏差率计算 </w:t>
      </w:r>
    </w:p>
    <w:p>
      <w:pPr>
        <w:spacing w:line="360" w:lineRule="auto"/>
        <w:ind w:right="3208"/>
        <w:jc w:val="left"/>
        <w:rPr>
          <w:rFonts w:ascii="宋体" w:hAnsi="宋体" w:eastAsia="宋体" w:cs="Times New Roman"/>
          <w:kern w:val="0"/>
          <w:sz w:val="23"/>
          <w:szCs w:val="23"/>
        </w:rPr>
      </w:pPr>
      <w:r>
        <w:rPr>
          <w:rFonts w:ascii="宋体" w:hAnsi="宋体" w:eastAsia="宋体" w:cs="Times New Roman"/>
          <w:kern w:val="0"/>
          <w:sz w:val="23"/>
          <w:szCs w:val="23"/>
        </w:rPr>
        <w:t xml:space="preserve">评标价的偏差率计算公式：见评标办法前附表。 </w:t>
      </w:r>
      <w:r>
        <w:rPr>
          <w:rFonts w:ascii="Times New Roman" w:hAnsi="Times New Roman" w:eastAsia="Times New Roman" w:cs="Times New Roman"/>
          <w:kern w:val="0"/>
          <w:sz w:val="23"/>
          <w:szCs w:val="23"/>
        </w:rPr>
        <w:t xml:space="preserve">2.2.4 </w:t>
      </w:r>
      <w:r>
        <w:rPr>
          <w:rFonts w:ascii="宋体" w:hAnsi="宋体" w:eastAsia="宋体" w:cs="Times New Roman"/>
          <w:kern w:val="0"/>
          <w:sz w:val="23"/>
          <w:szCs w:val="23"/>
        </w:rPr>
        <w:t>评分标准</w:t>
      </w:r>
    </w:p>
    <w:p>
      <w:pPr>
        <w:spacing w:line="360" w:lineRule="auto"/>
        <w:ind w:right="84"/>
        <w:jc w:val="left"/>
        <w:rPr>
          <w:rFonts w:ascii="宋体" w:hAnsi="宋体" w:eastAsia="宋体" w:cs="Times New Roman"/>
          <w:kern w:val="0"/>
          <w:sz w:val="23"/>
          <w:szCs w:val="23"/>
        </w:rPr>
      </w:pPr>
      <w:r>
        <w:rPr>
          <w:rFonts w:hint="eastAsia" w:ascii="宋体" w:hAnsi="宋体" w:eastAsia="宋体" w:cs="Times New Roman"/>
          <w:kern w:val="0"/>
          <w:sz w:val="23"/>
          <w:szCs w:val="23"/>
        </w:rPr>
        <w:t>（1）</w:t>
      </w:r>
      <w:r>
        <w:rPr>
          <w:rFonts w:ascii="宋体" w:hAnsi="宋体" w:eastAsia="宋体" w:cs="Times New Roman"/>
          <w:kern w:val="0"/>
          <w:sz w:val="23"/>
          <w:szCs w:val="23"/>
        </w:rPr>
        <w:t>技术建议书评分标准：见评标办法前附表</w:t>
      </w:r>
      <w:r>
        <w:rPr>
          <w:rFonts w:hint="eastAsia" w:ascii="宋体" w:hAnsi="宋体" w:eastAsia="宋体" w:cs="Times New Roman"/>
          <w:kern w:val="0"/>
          <w:sz w:val="23"/>
          <w:szCs w:val="23"/>
        </w:rPr>
        <w:t>；</w:t>
      </w:r>
    </w:p>
    <w:p>
      <w:pPr>
        <w:spacing w:line="360" w:lineRule="auto"/>
        <w:ind w:right="84"/>
        <w:jc w:val="left"/>
        <w:rPr>
          <w:rFonts w:ascii="宋体" w:hAnsi="宋体" w:eastAsia="宋体" w:cs="Times New Roman"/>
          <w:kern w:val="0"/>
          <w:sz w:val="23"/>
          <w:szCs w:val="23"/>
        </w:rPr>
      </w:pPr>
      <w:r>
        <w:rPr>
          <w:rFonts w:hint="eastAsia" w:ascii="宋体" w:hAnsi="宋体" w:eastAsia="宋体" w:cs="Times New Roman"/>
          <w:kern w:val="0"/>
          <w:sz w:val="23"/>
          <w:szCs w:val="23"/>
        </w:rPr>
        <w:t>（2）</w:t>
      </w:r>
      <w:r>
        <w:rPr>
          <w:rFonts w:ascii="宋体" w:hAnsi="宋体" w:eastAsia="宋体" w:cs="Times New Roman"/>
          <w:kern w:val="0"/>
          <w:sz w:val="23"/>
          <w:szCs w:val="23"/>
        </w:rPr>
        <w:t>主要人员评分标准：见评标办法前附表</w:t>
      </w:r>
      <w:r>
        <w:rPr>
          <w:rFonts w:hint="eastAsia" w:ascii="宋体" w:hAnsi="宋体" w:eastAsia="宋体" w:cs="Times New Roman"/>
          <w:kern w:val="0"/>
          <w:sz w:val="23"/>
          <w:szCs w:val="23"/>
        </w:rPr>
        <w:t>；</w:t>
      </w:r>
    </w:p>
    <w:p>
      <w:pPr>
        <w:spacing w:line="360" w:lineRule="auto"/>
        <w:ind w:right="84"/>
        <w:jc w:val="left"/>
        <w:rPr>
          <w:rFonts w:ascii="宋体" w:hAnsi="宋体" w:eastAsia="宋体" w:cs="Times New Roman"/>
          <w:kern w:val="0"/>
          <w:sz w:val="23"/>
          <w:szCs w:val="23"/>
        </w:rPr>
      </w:pPr>
      <w:r>
        <w:rPr>
          <w:rFonts w:hint="eastAsia" w:ascii="宋体" w:hAnsi="宋体" w:eastAsia="宋体" w:cs="Times New Roman"/>
          <w:kern w:val="0"/>
          <w:sz w:val="23"/>
          <w:szCs w:val="23"/>
        </w:rPr>
        <w:t>（3）</w:t>
      </w:r>
      <w:r>
        <w:rPr>
          <w:rFonts w:ascii="宋体" w:hAnsi="宋体" w:eastAsia="宋体" w:cs="Times New Roman"/>
          <w:kern w:val="0"/>
          <w:sz w:val="23"/>
          <w:szCs w:val="23"/>
        </w:rPr>
        <w:t>评标价评分标准：见评标办法前附表</w:t>
      </w:r>
      <w:r>
        <w:rPr>
          <w:rFonts w:hint="eastAsia" w:ascii="宋体" w:hAnsi="宋体" w:eastAsia="宋体" w:cs="Times New Roman"/>
          <w:kern w:val="0"/>
          <w:sz w:val="23"/>
          <w:szCs w:val="23"/>
        </w:rPr>
        <w:t>；</w:t>
      </w:r>
    </w:p>
    <w:p>
      <w:pPr>
        <w:spacing w:line="360" w:lineRule="auto"/>
        <w:jc w:val="left"/>
        <w:rPr>
          <w:rFonts w:ascii="宋体" w:hAnsi="宋体" w:eastAsia="宋体" w:cs="宋体"/>
          <w:kern w:val="0"/>
          <w:sz w:val="29"/>
          <w:szCs w:val="29"/>
        </w:rPr>
      </w:pPr>
      <w:r>
        <w:rPr>
          <w:rFonts w:hint="eastAsia" w:ascii="Calibri" w:hAnsi="Calibri" w:eastAsia="宋体" w:cs="Times New Roman"/>
          <w:kern w:val="0"/>
          <w:sz w:val="22"/>
        </w:rPr>
        <w:t>（4）</w:t>
      </w:r>
      <w:r>
        <w:rPr>
          <w:rFonts w:ascii="Calibri" w:hAnsi="Calibri" w:eastAsia="宋体" w:cs="Times New Roman"/>
          <w:kern w:val="0"/>
          <w:sz w:val="22"/>
        </w:rPr>
        <w:t>其他因素评分标准：见评标办法前附表。</w:t>
      </w:r>
    </w:p>
    <w:p>
      <w:pPr>
        <w:spacing w:line="360" w:lineRule="auto"/>
        <w:ind w:left="151"/>
        <w:rPr>
          <w:rFonts w:ascii="宋体" w:hAnsi="宋体" w:eastAsia="宋体" w:cs="宋体"/>
          <w:kern w:val="0"/>
          <w:sz w:val="27"/>
          <w:szCs w:val="27"/>
        </w:rPr>
      </w:pPr>
      <w:r>
        <w:rPr>
          <w:rFonts w:ascii="Arial" w:hAnsi="Arial" w:eastAsia="Arial" w:cs="Arial"/>
          <w:kern w:val="0"/>
          <w:sz w:val="24"/>
          <w:szCs w:val="24"/>
        </w:rPr>
        <w:t xml:space="preserve">3.  </w:t>
      </w:r>
      <w:r>
        <w:rPr>
          <w:rFonts w:ascii="宋体" w:hAnsi="宋体" w:eastAsia="宋体" w:cs="宋体"/>
          <w:kern w:val="0"/>
          <w:sz w:val="27"/>
          <w:szCs w:val="27"/>
        </w:rPr>
        <w:t>评标程序</w:t>
      </w:r>
    </w:p>
    <w:p>
      <w:pPr>
        <w:spacing w:line="360" w:lineRule="auto"/>
        <w:ind w:left="151"/>
        <w:rPr>
          <w:rFonts w:ascii="宋体" w:hAnsi="宋体" w:eastAsia="宋体" w:cs="宋体"/>
          <w:kern w:val="0"/>
          <w:sz w:val="23"/>
          <w:szCs w:val="23"/>
        </w:rPr>
      </w:pPr>
      <w:r>
        <w:rPr>
          <w:rFonts w:ascii="Arial" w:hAnsi="Arial" w:eastAsia="Arial" w:cs="Arial"/>
          <w:kern w:val="0"/>
          <w:sz w:val="22"/>
        </w:rPr>
        <w:t xml:space="preserve">3. 1  </w:t>
      </w:r>
      <w:r>
        <w:rPr>
          <w:rFonts w:ascii="宋体" w:hAnsi="宋体" w:eastAsia="宋体" w:cs="宋体"/>
          <w:kern w:val="0"/>
          <w:sz w:val="23"/>
          <w:szCs w:val="23"/>
        </w:rPr>
        <w:t>第一个信封初步评审</w:t>
      </w:r>
    </w:p>
    <w:p>
      <w:pPr>
        <w:spacing w:line="360" w:lineRule="auto"/>
        <w:ind w:left="142" w:right="16" w:firstLine="423" w:firstLineChars="184"/>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3.1.1  </w:t>
      </w:r>
      <w:r>
        <w:rPr>
          <w:rFonts w:ascii="宋体" w:hAnsi="宋体" w:eastAsia="宋体" w:cs="Times New Roman"/>
          <w:kern w:val="0"/>
          <w:sz w:val="23"/>
          <w:szCs w:val="23"/>
        </w:rPr>
        <w:t>评标委员会可以要求投标人提交第二章“投标人须知”第</w:t>
      </w:r>
      <w:r>
        <w:rPr>
          <w:rFonts w:ascii="Times New Roman" w:hAnsi="Times New Roman" w:eastAsia="Times New Roman" w:cs="Times New Roman"/>
          <w:kern w:val="0"/>
          <w:sz w:val="23"/>
          <w:szCs w:val="23"/>
        </w:rPr>
        <w:t>3.5.1</w:t>
      </w:r>
      <w:r>
        <w:rPr>
          <w:rFonts w:ascii="宋体" w:hAnsi="宋体" w:eastAsia="宋体" w:cs="Times New Roman"/>
          <w:kern w:val="0"/>
          <w:sz w:val="23"/>
          <w:szCs w:val="23"/>
        </w:rPr>
        <w:t>项至第</w:t>
      </w:r>
      <w:r>
        <w:rPr>
          <w:rFonts w:ascii="Times New Roman" w:hAnsi="Times New Roman" w:eastAsia="Times New Roman" w:cs="Times New Roman"/>
          <w:kern w:val="0"/>
          <w:sz w:val="23"/>
          <w:szCs w:val="23"/>
        </w:rPr>
        <w:t>3.5.5</w:t>
      </w:r>
      <w:r>
        <w:rPr>
          <w:rFonts w:ascii="宋体" w:hAnsi="宋体" w:eastAsia="宋体" w:cs="Times New Roman"/>
          <w:kern w:val="0"/>
          <w:sz w:val="23"/>
          <w:szCs w:val="23"/>
        </w:rPr>
        <w:t>项规定的有关证明和证件的原件</w:t>
      </w:r>
      <w:r>
        <w:rPr>
          <w:rFonts w:hint="eastAsia" w:ascii="宋体" w:hAnsi="宋体" w:eastAsia="宋体" w:cs="Times New Roman"/>
          <w:kern w:val="0"/>
          <w:sz w:val="23"/>
          <w:szCs w:val="23"/>
        </w:rPr>
        <w:t>，</w:t>
      </w:r>
      <w:r>
        <w:rPr>
          <w:rFonts w:ascii="宋体" w:hAnsi="宋体" w:eastAsia="宋体" w:cs="Times New Roman"/>
          <w:kern w:val="0"/>
          <w:sz w:val="23"/>
          <w:szCs w:val="23"/>
        </w:rPr>
        <w:t>以便核验。评标委员会依据本章第</w:t>
      </w:r>
      <w:r>
        <w:rPr>
          <w:rFonts w:ascii="Times New Roman" w:hAnsi="Times New Roman" w:eastAsia="Times New Roman" w:cs="Times New Roman"/>
          <w:kern w:val="0"/>
          <w:sz w:val="23"/>
          <w:szCs w:val="23"/>
        </w:rPr>
        <w:t>2.1</w:t>
      </w:r>
      <w:r>
        <w:rPr>
          <w:rFonts w:ascii="宋体" w:hAnsi="宋体" w:eastAsia="宋体" w:cs="Times New Roman"/>
          <w:kern w:val="0"/>
          <w:sz w:val="23"/>
          <w:szCs w:val="23"/>
        </w:rPr>
        <w:t>款规定的标准对投标文件第一个信封</w:t>
      </w:r>
      <w:r>
        <w:rPr>
          <w:rFonts w:hint="eastAsia" w:ascii="宋体" w:hAnsi="宋体" w:eastAsia="宋体" w:cs="Times New Roman"/>
          <w:kern w:val="0"/>
          <w:sz w:val="23"/>
          <w:szCs w:val="23"/>
        </w:rPr>
        <w:t>（</w:t>
      </w:r>
      <w:r>
        <w:rPr>
          <w:rFonts w:ascii="宋体" w:hAnsi="宋体" w:eastAsia="宋体" w:cs="Times New Roman"/>
          <w:kern w:val="0"/>
          <w:sz w:val="23"/>
          <w:szCs w:val="23"/>
        </w:rPr>
        <w:t>商务及技术文件</w:t>
      </w:r>
      <w:r>
        <w:rPr>
          <w:rFonts w:hint="eastAsia" w:ascii="宋体" w:hAnsi="宋体" w:eastAsia="宋体" w:cs="Times New Roman"/>
          <w:kern w:val="0"/>
          <w:sz w:val="23"/>
          <w:szCs w:val="23"/>
        </w:rPr>
        <w:t>）</w:t>
      </w:r>
      <w:r>
        <w:rPr>
          <w:rFonts w:ascii="宋体" w:hAnsi="宋体" w:eastAsia="宋体" w:cs="Times New Roman"/>
          <w:kern w:val="0"/>
          <w:sz w:val="23"/>
          <w:szCs w:val="23"/>
        </w:rPr>
        <w:t>进行初步评审。有一项不符合评审标准的，评标委员会应否决其投标</w:t>
      </w:r>
      <w:r>
        <w:rPr>
          <w:rFonts w:hint="eastAsia" w:ascii="宋体" w:hAnsi="宋体" w:eastAsia="宋体" w:cs="Times New Roman"/>
          <w:kern w:val="0"/>
          <w:sz w:val="23"/>
          <w:szCs w:val="23"/>
        </w:rPr>
        <w:t>。</w:t>
      </w:r>
    </w:p>
    <w:p>
      <w:pPr>
        <w:spacing w:line="360" w:lineRule="auto"/>
        <w:rPr>
          <w:rFonts w:ascii="宋体" w:hAnsi="宋体" w:eastAsia="宋体" w:cs="宋体"/>
          <w:kern w:val="0"/>
          <w:sz w:val="23"/>
          <w:szCs w:val="23"/>
        </w:rPr>
      </w:pPr>
      <w:r>
        <w:rPr>
          <w:rFonts w:ascii="Arial" w:hAnsi="Arial" w:eastAsia="Arial" w:cs="Arial"/>
          <w:kern w:val="0"/>
          <w:szCs w:val="21"/>
        </w:rPr>
        <w:t xml:space="preserve">3. 2 </w:t>
      </w:r>
      <w:r>
        <w:rPr>
          <w:rFonts w:ascii="宋体" w:hAnsi="宋体" w:eastAsia="宋体" w:cs="宋体"/>
          <w:kern w:val="0"/>
          <w:sz w:val="23"/>
          <w:szCs w:val="23"/>
        </w:rPr>
        <w:t>第一个信封详细评审</w:t>
      </w:r>
    </w:p>
    <w:p>
      <w:pPr>
        <w:spacing w:line="360" w:lineRule="auto"/>
        <w:ind w:right="317" w:firstLine="440"/>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3.2.1 </w:t>
      </w:r>
      <w:r>
        <w:rPr>
          <w:rFonts w:ascii="宋体" w:hAnsi="宋体" w:eastAsia="宋体" w:cs="Times New Roman"/>
          <w:kern w:val="0"/>
          <w:sz w:val="23"/>
          <w:szCs w:val="23"/>
        </w:rPr>
        <w:t xml:space="preserve">评标委员会按本章第 </w:t>
      </w:r>
      <w:r>
        <w:rPr>
          <w:rFonts w:ascii="Times New Roman" w:hAnsi="Times New Roman" w:eastAsia="Times New Roman" w:cs="Times New Roman"/>
          <w:kern w:val="0"/>
          <w:sz w:val="23"/>
          <w:szCs w:val="23"/>
        </w:rPr>
        <w:t>2.2</w:t>
      </w:r>
      <w:r>
        <w:rPr>
          <w:rFonts w:hint="eastAsia" w:ascii="Times New Roman" w:hAnsi="Times New Roman" w:eastAsia="宋体" w:cs="Times New Roman"/>
          <w:kern w:val="0"/>
          <w:sz w:val="23"/>
          <w:szCs w:val="23"/>
        </w:rPr>
        <w:t>.3</w:t>
      </w:r>
      <w:r>
        <w:rPr>
          <w:rFonts w:ascii="Times New Roman" w:hAnsi="Times New Roman" w:eastAsia="Times New Roman" w:cs="Times New Roman"/>
          <w:kern w:val="0"/>
          <w:sz w:val="23"/>
          <w:szCs w:val="23"/>
        </w:rPr>
        <w:t xml:space="preserve"> </w:t>
      </w:r>
      <w:r>
        <w:rPr>
          <w:rFonts w:ascii="宋体" w:hAnsi="宋体" w:eastAsia="宋体" w:cs="Times New Roman"/>
          <w:kern w:val="0"/>
          <w:sz w:val="23"/>
          <w:szCs w:val="23"/>
        </w:rPr>
        <w:t>款规定的量化因素和分值进行打分，并计算出各投标人的商务和技术得分。</w:t>
      </w:r>
    </w:p>
    <w:p>
      <w:pPr>
        <w:spacing w:line="360" w:lineRule="auto"/>
        <w:ind w:right="318" w:firstLine="440"/>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3.2.2 </w:t>
      </w:r>
      <w:r>
        <w:rPr>
          <w:rFonts w:ascii="宋体" w:hAnsi="宋体" w:eastAsia="宋体" w:cs="Times New Roman"/>
          <w:kern w:val="0"/>
          <w:sz w:val="23"/>
          <w:szCs w:val="23"/>
        </w:rPr>
        <w:t>投标人的商务和技术得分分值计算保留小数点后两位</w:t>
      </w:r>
      <w:r>
        <w:rPr>
          <w:rFonts w:hint="eastAsia" w:ascii="宋体" w:hAnsi="宋体" w:eastAsia="宋体" w:cs="Times New Roman"/>
          <w:kern w:val="0"/>
          <w:sz w:val="23"/>
          <w:szCs w:val="23"/>
        </w:rPr>
        <w:t>，</w:t>
      </w:r>
      <w:r>
        <w:rPr>
          <w:rFonts w:ascii="宋体" w:hAnsi="宋体" w:eastAsia="宋体" w:cs="Times New Roman"/>
          <w:kern w:val="0"/>
          <w:sz w:val="23"/>
          <w:szCs w:val="23"/>
        </w:rPr>
        <w:t>小数点后第三位“四舍五入”。</w:t>
      </w:r>
    </w:p>
    <w:p>
      <w:pPr>
        <w:spacing w:line="360" w:lineRule="auto"/>
        <w:ind w:right="16"/>
        <w:jc w:val="left"/>
        <w:rPr>
          <w:rFonts w:ascii="宋体" w:hAnsi="宋体" w:eastAsia="宋体" w:cs="宋体"/>
          <w:kern w:val="0"/>
          <w:sz w:val="23"/>
          <w:szCs w:val="23"/>
        </w:rPr>
      </w:pPr>
      <w:r>
        <w:rPr>
          <w:rFonts w:ascii="Arial" w:hAnsi="Arial" w:eastAsia="Arial" w:cs="Arial"/>
          <w:kern w:val="0"/>
          <w:sz w:val="22"/>
        </w:rPr>
        <w:t xml:space="preserve">3. 3  </w:t>
      </w:r>
      <w:r>
        <w:rPr>
          <w:rFonts w:ascii="宋体" w:hAnsi="宋体" w:eastAsia="宋体" w:cs="宋体"/>
          <w:kern w:val="0"/>
          <w:sz w:val="23"/>
          <w:szCs w:val="23"/>
        </w:rPr>
        <w:t>第二个信封开标</w:t>
      </w:r>
    </w:p>
    <w:p>
      <w:pPr>
        <w:spacing w:line="360" w:lineRule="auto"/>
        <w:ind w:right="303" w:firstLine="440"/>
        <w:rPr>
          <w:rFonts w:ascii="宋体" w:hAnsi="宋体" w:eastAsia="宋体" w:cs="Times New Roman"/>
          <w:kern w:val="0"/>
          <w:sz w:val="23"/>
          <w:szCs w:val="23"/>
        </w:rPr>
      </w:pPr>
      <w:r>
        <w:rPr>
          <w:rFonts w:ascii="宋体" w:hAnsi="宋体" w:eastAsia="宋体" w:cs="Times New Roman"/>
          <w:kern w:val="0"/>
          <w:sz w:val="23"/>
          <w:szCs w:val="23"/>
        </w:rPr>
        <w:t>第一个信封（商务及技术文件）评审结束后，招标人将按照第二章“投标人须知”第 5.1 款规定的时间和地点对通过投标文件第一个信封（商务及技术文件）评审的投标文件第二个信封（报价文件）进行开标。</w:t>
      </w:r>
    </w:p>
    <w:p>
      <w:pPr>
        <w:spacing w:line="360" w:lineRule="auto"/>
        <w:ind w:right="16" w:firstLine="440"/>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3. 4 </w:t>
      </w:r>
      <w:r>
        <w:rPr>
          <w:rFonts w:ascii="宋体" w:hAnsi="宋体" w:eastAsia="宋体" w:cs="Times New Roman"/>
          <w:kern w:val="0"/>
          <w:sz w:val="23"/>
          <w:szCs w:val="23"/>
        </w:rPr>
        <w:t>第二个信封初步评审</w:t>
      </w:r>
    </w:p>
    <w:p>
      <w:pPr>
        <w:spacing w:line="360" w:lineRule="auto"/>
        <w:ind w:right="78" w:firstLine="440"/>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3.4.1 </w:t>
      </w:r>
      <w:r>
        <w:rPr>
          <w:rFonts w:ascii="宋体" w:hAnsi="宋体" w:eastAsia="宋体" w:cs="Times New Roman"/>
          <w:kern w:val="0"/>
          <w:sz w:val="23"/>
          <w:szCs w:val="23"/>
        </w:rPr>
        <w:t>评标委员会依据本章第</w:t>
      </w:r>
      <w:r>
        <w:rPr>
          <w:rFonts w:ascii="Times New Roman" w:hAnsi="Times New Roman" w:eastAsia="Times New Roman" w:cs="Times New Roman"/>
          <w:kern w:val="0"/>
          <w:sz w:val="23"/>
          <w:szCs w:val="23"/>
        </w:rPr>
        <w:t xml:space="preserve">2.1.1 </w:t>
      </w:r>
      <w:r>
        <w:rPr>
          <w:rFonts w:ascii="宋体" w:hAnsi="宋体" w:eastAsia="宋体" w:cs="Times New Roman"/>
          <w:kern w:val="0"/>
          <w:sz w:val="23"/>
          <w:szCs w:val="23"/>
        </w:rPr>
        <w:t>项、第</w:t>
      </w:r>
      <w:r>
        <w:rPr>
          <w:rFonts w:ascii="Times New Roman" w:hAnsi="Times New Roman" w:eastAsia="Times New Roman" w:cs="Times New Roman"/>
          <w:kern w:val="0"/>
          <w:sz w:val="23"/>
          <w:szCs w:val="23"/>
        </w:rPr>
        <w:t>2.1.</w:t>
      </w:r>
      <w:r>
        <w:rPr>
          <w:rFonts w:hint="eastAsia" w:ascii="Times New Roman" w:hAnsi="Times New Roman" w:eastAsia="宋体" w:cs="Times New Roman"/>
          <w:kern w:val="0"/>
          <w:sz w:val="23"/>
          <w:szCs w:val="23"/>
        </w:rPr>
        <w:t>2</w:t>
      </w:r>
      <w:r>
        <w:rPr>
          <w:rFonts w:ascii="Times New Roman" w:hAnsi="Times New Roman" w:eastAsia="Times New Roman" w:cs="Times New Roman"/>
          <w:kern w:val="0"/>
          <w:sz w:val="23"/>
          <w:szCs w:val="23"/>
        </w:rPr>
        <w:t xml:space="preserve"> </w:t>
      </w:r>
      <w:r>
        <w:rPr>
          <w:rFonts w:ascii="宋体" w:hAnsi="宋体" w:eastAsia="宋体" w:cs="Times New Roman"/>
          <w:kern w:val="0"/>
          <w:sz w:val="23"/>
          <w:szCs w:val="23"/>
        </w:rPr>
        <w:t>项规定的评审标准对投标文件第二个信封（报价文件）进行初步评审。有一项不符合评审标准的，评标委员会应否决其投标。</w:t>
      </w:r>
    </w:p>
    <w:p>
      <w:pPr>
        <w:spacing w:line="360" w:lineRule="auto"/>
        <w:ind w:firstLine="424" w:firstLineChars="193"/>
        <w:jc w:val="left"/>
        <w:rPr>
          <w:rFonts w:ascii="Calibri" w:hAnsi="Calibri" w:eastAsia="宋体" w:cs="Times New Roman"/>
          <w:kern w:val="0"/>
          <w:sz w:val="22"/>
        </w:rPr>
      </w:pPr>
      <w:r>
        <w:rPr>
          <w:rFonts w:ascii="Times New Roman" w:hAnsi="Times New Roman" w:eastAsia="Times New Roman" w:cs="Times New Roman"/>
          <w:kern w:val="0"/>
          <w:sz w:val="22"/>
        </w:rPr>
        <w:t xml:space="preserve">3.4.2  </w:t>
      </w:r>
      <w:r>
        <w:rPr>
          <w:rFonts w:ascii="Calibri" w:hAnsi="Calibri" w:eastAsia="宋体" w:cs="Times New Roman"/>
          <w:kern w:val="0"/>
          <w:sz w:val="22"/>
        </w:rPr>
        <w:t>投标报价有算术错误的，评标委员会按以下原则对投标报价进行修正，修正的价格经投标人书面确认后具有约束力。投标人不接受修正价格的，评标委员会应否决其投标。</w:t>
      </w:r>
    </w:p>
    <w:p>
      <w:pPr>
        <w:spacing w:line="360" w:lineRule="auto"/>
        <w:ind w:right="262"/>
        <w:jc w:val="left"/>
        <w:rPr>
          <w:rFonts w:ascii="宋体" w:hAnsi="宋体" w:eastAsia="宋体" w:cs="Times New Roman"/>
          <w:kern w:val="0"/>
          <w:sz w:val="23"/>
          <w:szCs w:val="23"/>
        </w:rPr>
      </w:pPr>
      <w:r>
        <w:rPr>
          <w:rFonts w:hint="eastAsia" w:ascii="Arial" w:hAnsi="Arial" w:eastAsia="宋体" w:cs="Arial"/>
          <w:kern w:val="0"/>
          <w:sz w:val="23"/>
          <w:szCs w:val="23"/>
        </w:rPr>
        <w:t>(1)</w:t>
      </w:r>
      <w:r>
        <w:rPr>
          <w:rFonts w:ascii="宋体" w:hAnsi="宋体" w:eastAsia="宋体" w:cs="Times New Roman"/>
          <w:kern w:val="0"/>
          <w:sz w:val="23"/>
          <w:szCs w:val="23"/>
        </w:rPr>
        <w:t xml:space="preserve"> 投标文件中的大写金额与小写金额不一致的，以大写金额为准；</w:t>
      </w:r>
    </w:p>
    <w:p>
      <w:pPr>
        <w:spacing w:line="360" w:lineRule="auto"/>
        <w:ind w:left="146" w:right="88"/>
        <w:jc w:val="left"/>
        <w:rPr>
          <w:rFonts w:ascii="宋体" w:hAnsi="宋体" w:eastAsia="宋体" w:cs="Times New Roman"/>
          <w:kern w:val="0"/>
          <w:sz w:val="23"/>
          <w:szCs w:val="23"/>
        </w:rPr>
      </w:pPr>
      <w:r>
        <w:rPr>
          <w:rFonts w:hint="eastAsia" w:ascii="Arial" w:hAnsi="Arial" w:eastAsia="宋体" w:cs="Arial"/>
          <w:kern w:val="0"/>
          <w:sz w:val="23"/>
          <w:szCs w:val="23"/>
        </w:rPr>
        <w:t>(2)</w:t>
      </w:r>
      <w:r>
        <w:rPr>
          <w:rFonts w:ascii="宋体" w:hAnsi="宋体" w:eastAsia="宋体" w:cs="Times New Roman"/>
          <w:kern w:val="0"/>
          <w:sz w:val="23"/>
          <w:szCs w:val="23"/>
        </w:rPr>
        <w:t xml:space="preserve"> 总价金额与依据单价计算出的结果不一致的，以单价金额为准修正总价，但单价金额小数点有明显错误的除外</w:t>
      </w:r>
      <w:r>
        <w:rPr>
          <w:rFonts w:hint="eastAsia" w:ascii="宋体" w:hAnsi="宋体" w:eastAsia="宋体" w:cs="Times New Roman"/>
          <w:kern w:val="0"/>
          <w:sz w:val="23"/>
          <w:szCs w:val="23"/>
        </w:rPr>
        <w:t>；</w:t>
      </w:r>
    </w:p>
    <w:p>
      <w:pPr>
        <w:spacing w:line="360" w:lineRule="auto"/>
        <w:ind w:left="146" w:right="288"/>
        <w:jc w:val="left"/>
        <w:rPr>
          <w:rFonts w:ascii="宋体" w:hAnsi="宋体" w:eastAsia="宋体" w:cs="Times New Roman"/>
          <w:kern w:val="0"/>
          <w:sz w:val="23"/>
          <w:szCs w:val="23"/>
        </w:rPr>
      </w:pPr>
      <w:r>
        <w:rPr>
          <w:rFonts w:hint="eastAsia" w:ascii="Arial" w:hAnsi="Arial" w:eastAsia="宋体" w:cs="Arial"/>
          <w:kern w:val="0"/>
          <w:sz w:val="23"/>
          <w:szCs w:val="23"/>
        </w:rPr>
        <w:t>(3)</w:t>
      </w:r>
      <w:r>
        <w:rPr>
          <w:rFonts w:ascii="宋体" w:hAnsi="宋体" w:eastAsia="宋体" w:cs="Times New Roman"/>
          <w:kern w:val="0"/>
          <w:sz w:val="23"/>
          <w:szCs w:val="23"/>
        </w:rPr>
        <w:t xml:space="preserve"> 当单价与数量相乘不等于合价时，以单价计算为准，如果单价有明显的小数点位置差错，应以标出的合价为准，同时对单价予以修正</w:t>
      </w:r>
      <w:r>
        <w:rPr>
          <w:rFonts w:hint="eastAsia" w:ascii="宋体" w:hAnsi="宋体" w:eastAsia="宋体" w:cs="Times New Roman"/>
          <w:kern w:val="0"/>
          <w:sz w:val="23"/>
          <w:szCs w:val="23"/>
        </w:rPr>
        <w:t>；</w:t>
      </w:r>
    </w:p>
    <w:p>
      <w:pPr>
        <w:spacing w:line="360" w:lineRule="auto"/>
        <w:ind w:left="146" w:right="179"/>
        <w:jc w:val="left"/>
        <w:rPr>
          <w:rFonts w:ascii="宋体" w:hAnsi="宋体" w:eastAsia="宋体" w:cs="Times New Roman"/>
          <w:kern w:val="0"/>
          <w:sz w:val="23"/>
          <w:szCs w:val="23"/>
        </w:rPr>
      </w:pPr>
      <w:r>
        <w:rPr>
          <w:rFonts w:hint="eastAsia" w:ascii="Arial" w:hAnsi="Arial" w:eastAsia="宋体" w:cs="Arial"/>
          <w:kern w:val="0"/>
          <w:sz w:val="23"/>
          <w:szCs w:val="23"/>
        </w:rPr>
        <w:t>(4)</w:t>
      </w:r>
      <w:r>
        <w:rPr>
          <w:rFonts w:ascii="Arial" w:hAnsi="Arial" w:eastAsia="宋体" w:cs="Arial"/>
          <w:kern w:val="0"/>
          <w:sz w:val="23"/>
          <w:szCs w:val="23"/>
        </w:rPr>
        <w:t xml:space="preserve"> </w:t>
      </w:r>
      <w:r>
        <w:rPr>
          <w:rFonts w:ascii="宋体" w:hAnsi="宋体" w:eastAsia="宋体" w:cs="Times New Roman"/>
          <w:kern w:val="0"/>
          <w:sz w:val="23"/>
          <w:szCs w:val="23"/>
        </w:rPr>
        <w:t>当各子目的合价累计不等于总价时，应以各子目合价累计数为准，修正总</w:t>
      </w:r>
      <w:r>
        <w:rPr>
          <w:rFonts w:hint="eastAsia" w:ascii="宋体" w:hAnsi="宋体" w:eastAsia="宋体" w:cs="Times New Roman"/>
          <w:kern w:val="0"/>
          <w:sz w:val="23"/>
          <w:szCs w:val="23"/>
        </w:rPr>
        <w:t>价。</w:t>
      </w:r>
    </w:p>
    <w:p>
      <w:pPr>
        <w:tabs>
          <w:tab w:val="left" w:pos="5935"/>
          <w:tab w:val="left" w:pos="9214"/>
        </w:tabs>
        <w:spacing w:line="360" w:lineRule="auto"/>
        <w:ind w:right="78" w:firstLine="440"/>
        <w:jc w:val="left"/>
        <w:rPr>
          <w:rFonts w:ascii="宋体" w:hAnsi="宋体" w:eastAsia="宋体" w:cs="Times New Roman"/>
          <w:kern w:val="0"/>
          <w:sz w:val="23"/>
          <w:szCs w:val="23"/>
        </w:rPr>
      </w:pPr>
      <w:r>
        <w:rPr>
          <w:rFonts w:ascii="Times New Roman" w:hAnsi="Times New Roman" w:eastAsia="Times New Roman" w:cs="Times New Roman"/>
          <w:kern w:val="0"/>
          <w:sz w:val="22"/>
        </w:rPr>
        <w:t xml:space="preserve">3.4.3 </w:t>
      </w:r>
      <w:r>
        <w:rPr>
          <w:rFonts w:ascii="宋体" w:hAnsi="宋体" w:eastAsia="宋体" w:cs="Times New Roman"/>
          <w:kern w:val="0"/>
          <w:sz w:val="23"/>
          <w:szCs w:val="23"/>
        </w:rPr>
        <w:t>修正后的最终投标报价若超过最高投标限价（如有），评标委员会应否决其投标。</w:t>
      </w:r>
    </w:p>
    <w:p>
      <w:pPr>
        <w:spacing w:line="360" w:lineRule="auto"/>
        <w:ind w:right="78" w:firstLine="440"/>
        <w:jc w:val="left"/>
        <w:rPr>
          <w:rFonts w:ascii="宋体" w:hAnsi="宋体" w:eastAsia="宋体" w:cs="Times New Roman"/>
          <w:kern w:val="0"/>
          <w:sz w:val="23"/>
          <w:szCs w:val="23"/>
        </w:rPr>
      </w:pPr>
      <w:r>
        <w:rPr>
          <w:rFonts w:ascii="Times New Roman" w:hAnsi="Times New Roman" w:eastAsia="Times New Roman" w:cs="Times New Roman"/>
          <w:kern w:val="0"/>
          <w:sz w:val="22"/>
        </w:rPr>
        <w:t xml:space="preserve">3.4.4 </w:t>
      </w:r>
      <w:r>
        <w:rPr>
          <w:rFonts w:ascii="宋体" w:hAnsi="宋体" w:eastAsia="宋体" w:cs="Times New Roman"/>
          <w:kern w:val="0"/>
          <w:sz w:val="23"/>
          <w:szCs w:val="23"/>
        </w:rPr>
        <w:t>修正后的最终投标报价仅作为签订合同的一个依据，不参与评标价得分的计算。</w:t>
      </w:r>
    </w:p>
    <w:p>
      <w:pPr>
        <w:spacing w:line="360" w:lineRule="auto"/>
        <w:ind w:right="-64"/>
        <w:jc w:val="left"/>
        <w:rPr>
          <w:rFonts w:ascii="宋体" w:hAnsi="宋体" w:eastAsia="宋体" w:cs="宋体"/>
          <w:kern w:val="0"/>
          <w:sz w:val="23"/>
          <w:szCs w:val="23"/>
        </w:rPr>
      </w:pPr>
      <w:r>
        <w:rPr>
          <w:rFonts w:ascii="Times New Roman" w:hAnsi="Times New Roman" w:eastAsia="Times New Roman" w:cs="Times New Roman"/>
          <w:kern w:val="0"/>
          <w:sz w:val="22"/>
        </w:rPr>
        <w:t xml:space="preserve">3. 5 </w:t>
      </w:r>
      <w:r>
        <w:rPr>
          <w:rFonts w:ascii="宋体" w:hAnsi="宋体" w:eastAsia="宋体" w:cs="宋体"/>
          <w:kern w:val="0"/>
          <w:sz w:val="23"/>
          <w:szCs w:val="23"/>
        </w:rPr>
        <w:t>第二个信封详细评审</w:t>
      </w:r>
    </w:p>
    <w:p>
      <w:pPr>
        <w:spacing w:line="360" w:lineRule="auto"/>
        <w:ind w:right="-64" w:firstLine="440"/>
        <w:jc w:val="left"/>
        <w:rPr>
          <w:rFonts w:ascii="宋体" w:hAnsi="宋体" w:eastAsia="宋体" w:cs="Times New Roman"/>
          <w:kern w:val="0"/>
          <w:sz w:val="23"/>
          <w:szCs w:val="23"/>
        </w:rPr>
      </w:pPr>
      <w:r>
        <w:rPr>
          <w:rFonts w:ascii="Times New Roman" w:hAnsi="Times New Roman" w:eastAsia="Times New Roman" w:cs="Times New Roman"/>
          <w:kern w:val="0"/>
          <w:sz w:val="22"/>
        </w:rPr>
        <w:t xml:space="preserve">3.5.1 </w:t>
      </w:r>
      <w:r>
        <w:rPr>
          <w:rFonts w:ascii="宋体" w:hAnsi="宋体" w:eastAsia="宋体" w:cs="Times New Roman"/>
          <w:kern w:val="0"/>
          <w:sz w:val="23"/>
          <w:szCs w:val="23"/>
        </w:rPr>
        <w:t xml:space="preserve">评标委员会按本章第 </w:t>
      </w:r>
      <w:r>
        <w:rPr>
          <w:rFonts w:ascii="Times New Roman" w:hAnsi="Times New Roman" w:eastAsia="Times New Roman" w:cs="Times New Roman"/>
          <w:kern w:val="0"/>
          <w:sz w:val="22"/>
        </w:rPr>
        <w:t>2.2.</w:t>
      </w:r>
      <w:r>
        <w:rPr>
          <w:rFonts w:hint="eastAsia" w:ascii="Times New Roman" w:hAnsi="Times New Roman" w:eastAsia="宋体" w:cs="Times New Roman"/>
          <w:kern w:val="0"/>
          <w:sz w:val="22"/>
        </w:rPr>
        <w:t>2</w:t>
      </w:r>
      <w:r>
        <w:rPr>
          <w:rFonts w:ascii="宋体" w:hAnsi="宋体" w:eastAsia="宋体" w:cs="Times New Roman"/>
          <w:kern w:val="0"/>
          <w:sz w:val="23"/>
          <w:szCs w:val="23"/>
        </w:rPr>
        <w:t>项规定的评审因素和分值对评标价计算出得分。评标价得分分值计算保留小数点后两位，小数点后第三位“四舍五入”。</w:t>
      </w:r>
    </w:p>
    <w:p>
      <w:pPr>
        <w:spacing w:line="360" w:lineRule="auto"/>
        <w:ind w:right="-64"/>
        <w:jc w:val="left"/>
        <w:rPr>
          <w:rFonts w:ascii="宋体" w:hAnsi="宋体" w:eastAsia="宋体" w:cs="宋体"/>
          <w:kern w:val="0"/>
          <w:sz w:val="23"/>
          <w:szCs w:val="23"/>
        </w:rPr>
      </w:pPr>
      <w:r>
        <w:rPr>
          <w:rFonts w:ascii="Times New Roman" w:hAnsi="Times New Roman" w:eastAsia="Times New Roman" w:cs="Times New Roman"/>
          <w:kern w:val="0"/>
          <w:sz w:val="22"/>
        </w:rPr>
        <w:t xml:space="preserve">3.5.2 </w:t>
      </w:r>
      <w:r>
        <w:rPr>
          <w:rFonts w:ascii="宋体" w:hAnsi="宋体" w:eastAsia="宋体" w:cs="宋体"/>
          <w:kern w:val="0"/>
          <w:sz w:val="23"/>
          <w:szCs w:val="23"/>
        </w:rPr>
        <w:t>投标人综合得分</w:t>
      </w:r>
      <w:r>
        <w:rPr>
          <w:rFonts w:hint="eastAsia" w:ascii="宋体" w:hAnsi="宋体" w:eastAsia="宋体" w:cs="宋体"/>
          <w:kern w:val="0"/>
          <w:sz w:val="23"/>
          <w:szCs w:val="23"/>
        </w:rPr>
        <w:t>=</w:t>
      </w:r>
      <w:r>
        <w:rPr>
          <w:rFonts w:ascii="宋体" w:hAnsi="宋体" w:eastAsia="宋体" w:cs="宋体"/>
          <w:kern w:val="0"/>
          <w:sz w:val="23"/>
          <w:szCs w:val="23"/>
        </w:rPr>
        <w:t>投标人的商务和技术得分</w:t>
      </w:r>
      <w:r>
        <w:rPr>
          <w:rFonts w:hint="eastAsia" w:ascii="宋体" w:hAnsi="宋体" w:eastAsia="宋体" w:cs="宋体"/>
          <w:kern w:val="0"/>
          <w:sz w:val="23"/>
          <w:szCs w:val="23"/>
        </w:rPr>
        <w:t>＋</w:t>
      </w:r>
      <w:r>
        <w:rPr>
          <w:rFonts w:ascii="Calibri" w:hAnsi="Calibri" w:eastAsia="宋体" w:cs="Times New Roman"/>
          <w:kern w:val="0"/>
          <w:sz w:val="22"/>
        </w:rPr>
        <w:t>评标价得分</w:t>
      </w:r>
      <w:r>
        <w:rPr>
          <w:rFonts w:hint="eastAsia" w:ascii="Times New Roman" w:hAnsi="Times New Roman" w:eastAsia="宋体" w:cs="Times New Roman"/>
          <w:kern w:val="0"/>
          <w:sz w:val="22"/>
        </w:rPr>
        <w:t>。</w:t>
      </w:r>
    </w:p>
    <w:p>
      <w:pPr>
        <w:spacing w:line="360" w:lineRule="auto"/>
        <w:ind w:right="-64" w:firstLine="440"/>
        <w:rPr>
          <w:rFonts w:ascii="宋体" w:hAnsi="宋体" w:eastAsia="宋体" w:cs="Times New Roman"/>
          <w:kern w:val="0"/>
          <w:sz w:val="23"/>
          <w:szCs w:val="23"/>
        </w:rPr>
      </w:pPr>
      <w:r>
        <w:rPr>
          <w:rFonts w:ascii="Times New Roman" w:hAnsi="Times New Roman" w:eastAsia="Times New Roman" w:cs="Times New Roman"/>
          <w:kern w:val="0"/>
          <w:sz w:val="22"/>
        </w:rPr>
        <w:t xml:space="preserve">3.5.3 </w:t>
      </w:r>
      <w:r>
        <w:rPr>
          <w:rFonts w:ascii="宋体" w:hAnsi="宋体" w:eastAsia="宋体" w:cs="Times New Roman"/>
          <w:kern w:val="0"/>
          <w:sz w:val="23"/>
          <w:szCs w:val="23"/>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r>
        <w:rPr>
          <w:rFonts w:hint="eastAsia" w:ascii="宋体" w:hAnsi="宋体" w:eastAsia="宋体" w:cs="Times New Roman"/>
          <w:kern w:val="0"/>
          <w:sz w:val="23"/>
          <w:szCs w:val="23"/>
        </w:rPr>
        <w:t>。</w:t>
      </w:r>
    </w:p>
    <w:p>
      <w:pPr>
        <w:spacing w:line="360" w:lineRule="auto"/>
        <w:ind w:right="-64"/>
        <w:jc w:val="left"/>
        <w:rPr>
          <w:rFonts w:ascii="宋体" w:hAnsi="宋体" w:eastAsia="宋体" w:cs="宋体"/>
          <w:kern w:val="0"/>
          <w:sz w:val="24"/>
          <w:szCs w:val="24"/>
        </w:rPr>
      </w:pPr>
      <w:r>
        <w:rPr>
          <w:rFonts w:ascii="Times New Roman" w:hAnsi="Times New Roman" w:eastAsia="Times New Roman" w:cs="Times New Roman"/>
          <w:kern w:val="0"/>
          <w:sz w:val="22"/>
        </w:rPr>
        <w:t xml:space="preserve">3. 6  </w:t>
      </w:r>
      <w:r>
        <w:rPr>
          <w:rFonts w:ascii="宋体" w:hAnsi="宋体" w:eastAsia="宋体" w:cs="宋体"/>
          <w:kern w:val="0"/>
          <w:sz w:val="23"/>
          <w:szCs w:val="23"/>
        </w:rPr>
        <w:t>投标文件相关信息的核查</w:t>
      </w:r>
    </w:p>
    <w:p>
      <w:pPr>
        <w:spacing w:line="360" w:lineRule="auto"/>
        <w:ind w:right="78" w:firstLine="440"/>
        <w:jc w:val="left"/>
        <w:rPr>
          <w:rFonts w:ascii="宋体" w:hAnsi="宋体" w:eastAsia="宋体" w:cs="Times New Roman"/>
          <w:kern w:val="0"/>
          <w:sz w:val="23"/>
          <w:szCs w:val="23"/>
        </w:rPr>
      </w:pPr>
      <w:r>
        <w:rPr>
          <w:rFonts w:ascii="Times New Roman" w:hAnsi="Times New Roman" w:eastAsia="Times New Roman" w:cs="Times New Roman"/>
          <w:kern w:val="0"/>
          <w:sz w:val="22"/>
        </w:rPr>
        <w:t xml:space="preserve">3.6.1 </w:t>
      </w:r>
      <w:r>
        <w:rPr>
          <w:rFonts w:ascii="宋体" w:hAnsi="宋体" w:eastAsia="宋体" w:cs="Times New Roman"/>
          <w:kern w:val="0"/>
          <w:sz w:val="23"/>
          <w:szCs w:val="23"/>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spacing w:line="360" w:lineRule="auto"/>
        <w:ind w:right="233" w:firstLine="440"/>
        <w:rPr>
          <w:rFonts w:ascii="宋体" w:hAnsi="宋体" w:eastAsia="宋体" w:cs="Times New Roman"/>
          <w:kern w:val="0"/>
          <w:sz w:val="23"/>
          <w:szCs w:val="23"/>
        </w:rPr>
      </w:pPr>
      <w:r>
        <w:rPr>
          <w:rFonts w:ascii="Times New Roman" w:hAnsi="Times New Roman" w:eastAsia="Times New Roman" w:cs="Times New Roman"/>
          <w:kern w:val="0"/>
          <w:sz w:val="22"/>
        </w:rPr>
        <w:t xml:space="preserve">3.6.2 </w:t>
      </w:r>
      <w:r>
        <w:rPr>
          <w:rFonts w:ascii="宋体" w:hAnsi="宋体" w:eastAsia="宋体" w:cs="Times New Roman"/>
          <w:kern w:val="0"/>
          <w:sz w:val="23"/>
          <w:szCs w:val="23"/>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left="147" w:leftChars="70" w:right="2713"/>
        <w:jc w:val="left"/>
        <w:rPr>
          <w:rFonts w:ascii="宋体" w:hAnsi="宋体" w:eastAsia="宋体" w:cs="Times New Roman"/>
          <w:kern w:val="0"/>
          <w:sz w:val="23"/>
          <w:szCs w:val="23"/>
        </w:rPr>
      </w:pPr>
      <w:r>
        <w:rPr>
          <w:rFonts w:hint="eastAsia" w:ascii="宋体" w:hAnsi="宋体" w:eastAsia="宋体" w:cs="宋体"/>
          <w:kern w:val="0"/>
          <w:sz w:val="22"/>
        </w:rPr>
        <w:t>（</w:t>
      </w:r>
      <w:r>
        <w:rPr>
          <w:rFonts w:hint="eastAsia" w:ascii="Times New Roman" w:hAnsi="Times New Roman" w:eastAsia="Times New Roman" w:cs="Times New Roman"/>
          <w:kern w:val="0"/>
          <w:sz w:val="22"/>
        </w:rPr>
        <w:t>1</w:t>
      </w:r>
      <w:r>
        <w:rPr>
          <w:rFonts w:hint="eastAsia" w:ascii="宋体" w:hAnsi="宋体" w:eastAsia="宋体" w:cs="宋体"/>
          <w:kern w:val="0"/>
          <w:sz w:val="22"/>
        </w:rPr>
        <w:t>）</w:t>
      </w:r>
      <w:r>
        <w:rPr>
          <w:rFonts w:ascii="宋体" w:hAnsi="宋体" w:eastAsia="宋体" w:cs="Times New Roman"/>
          <w:kern w:val="0"/>
          <w:sz w:val="23"/>
          <w:szCs w:val="23"/>
        </w:rPr>
        <w:t>有下列情形之一的，属于投标人相互串通投标：</w:t>
      </w:r>
    </w:p>
    <w:p>
      <w:pPr>
        <w:spacing w:line="360" w:lineRule="auto"/>
        <w:ind w:right="262"/>
        <w:jc w:val="left"/>
        <w:rPr>
          <w:rFonts w:ascii="宋体" w:hAnsi="宋体" w:eastAsia="宋体" w:cs="宋体"/>
          <w:kern w:val="0"/>
          <w:sz w:val="15"/>
          <w:szCs w:val="15"/>
        </w:rPr>
      </w:pPr>
      <w:r>
        <w:rPr>
          <w:rFonts w:ascii="Times New Roman" w:hAnsi="Times New Roman" w:eastAsia="Times New Roman" w:cs="Times New Roman"/>
          <w:kern w:val="0"/>
          <w:sz w:val="22"/>
        </w:rPr>
        <w:t>a.</w:t>
      </w:r>
      <w:r>
        <w:rPr>
          <w:rFonts w:ascii="宋体" w:hAnsi="宋体" w:eastAsia="宋体" w:cs="Times New Roman"/>
          <w:kern w:val="0"/>
          <w:sz w:val="23"/>
          <w:szCs w:val="23"/>
        </w:rPr>
        <w:t>投标人之间协商投标报价等投标文件的实质性内容；</w:t>
      </w:r>
    </w:p>
    <w:p>
      <w:pPr>
        <w:spacing w:line="360" w:lineRule="auto"/>
        <w:ind w:right="1316"/>
        <w:jc w:val="left"/>
        <w:rPr>
          <w:rFonts w:ascii="宋体" w:hAnsi="宋体" w:eastAsia="宋体" w:cs="Times New Roman"/>
          <w:kern w:val="0"/>
          <w:sz w:val="23"/>
          <w:szCs w:val="23"/>
        </w:rPr>
      </w:pPr>
      <w:r>
        <w:rPr>
          <w:rFonts w:ascii="Arial" w:hAnsi="Arial" w:eastAsia="Arial" w:cs="Arial"/>
          <w:kern w:val="0"/>
          <w:sz w:val="22"/>
        </w:rPr>
        <w:t>b.</w:t>
      </w:r>
      <w:r>
        <w:rPr>
          <w:rFonts w:ascii="宋体" w:hAnsi="宋体" w:eastAsia="宋体" w:cs="Times New Roman"/>
          <w:kern w:val="0"/>
          <w:sz w:val="23"/>
          <w:szCs w:val="23"/>
        </w:rPr>
        <w:t>投标人之间约定中标人</w:t>
      </w:r>
      <w:r>
        <w:rPr>
          <w:rFonts w:hint="eastAsia" w:ascii="宋体" w:hAnsi="宋体" w:eastAsia="宋体" w:cs="Times New Roman"/>
          <w:kern w:val="0"/>
          <w:sz w:val="23"/>
          <w:szCs w:val="23"/>
        </w:rPr>
        <w:t>；</w:t>
      </w:r>
    </w:p>
    <w:p>
      <w:pPr>
        <w:spacing w:line="360" w:lineRule="auto"/>
        <w:ind w:right="327"/>
        <w:jc w:val="left"/>
        <w:rPr>
          <w:rFonts w:ascii="宋体" w:hAnsi="宋体" w:eastAsia="宋体" w:cs="Times New Roman"/>
          <w:kern w:val="0"/>
          <w:sz w:val="23"/>
          <w:szCs w:val="23"/>
        </w:rPr>
      </w:pPr>
      <w:r>
        <w:rPr>
          <w:rFonts w:ascii="Times New Roman" w:hAnsi="Times New Roman" w:eastAsia="Times New Roman" w:cs="Times New Roman"/>
          <w:kern w:val="0"/>
          <w:sz w:val="16"/>
          <w:szCs w:val="16"/>
        </w:rPr>
        <w:t>C.</w:t>
      </w:r>
      <w:r>
        <w:rPr>
          <w:rFonts w:ascii="宋体" w:hAnsi="宋体" w:eastAsia="宋体" w:cs="Times New Roman"/>
          <w:kern w:val="0"/>
          <w:sz w:val="23"/>
          <w:szCs w:val="23"/>
        </w:rPr>
        <w:t>投标人之间约定部分投标人放弃投标或中标</w:t>
      </w:r>
      <w:r>
        <w:rPr>
          <w:rFonts w:hint="eastAsia" w:ascii="宋体" w:hAnsi="宋体" w:eastAsia="宋体" w:cs="Times New Roman"/>
          <w:kern w:val="0"/>
          <w:sz w:val="23"/>
          <w:szCs w:val="23"/>
        </w:rPr>
        <w:t>；</w:t>
      </w:r>
    </w:p>
    <w:p>
      <w:pPr>
        <w:spacing w:line="360" w:lineRule="auto"/>
        <w:ind w:right="327"/>
        <w:jc w:val="left"/>
        <w:rPr>
          <w:rFonts w:ascii="宋体" w:hAnsi="宋体" w:eastAsia="宋体" w:cs="Times New Roman"/>
          <w:kern w:val="0"/>
          <w:sz w:val="23"/>
          <w:szCs w:val="23"/>
        </w:rPr>
      </w:pPr>
      <w:r>
        <w:rPr>
          <w:rFonts w:ascii="Times New Roman" w:hAnsi="Times New Roman" w:eastAsia="Times New Roman" w:cs="Times New Roman"/>
          <w:kern w:val="0"/>
          <w:sz w:val="22"/>
        </w:rPr>
        <w:t>d.</w:t>
      </w:r>
      <w:r>
        <w:rPr>
          <w:rFonts w:ascii="宋体" w:hAnsi="宋体" w:eastAsia="宋体" w:cs="Times New Roman"/>
          <w:kern w:val="0"/>
          <w:sz w:val="23"/>
          <w:szCs w:val="23"/>
        </w:rPr>
        <w:t xml:space="preserve">属于同一集团、协会、商会等组织成员的投标人按照该组织要求协同投标； </w:t>
      </w:r>
    </w:p>
    <w:p>
      <w:pPr>
        <w:spacing w:line="360" w:lineRule="auto"/>
        <w:ind w:right="327"/>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e.</w:t>
      </w:r>
      <w:r>
        <w:rPr>
          <w:rFonts w:ascii="宋体" w:hAnsi="宋体" w:eastAsia="宋体" w:cs="Times New Roman"/>
          <w:kern w:val="0"/>
          <w:sz w:val="23"/>
          <w:szCs w:val="23"/>
        </w:rPr>
        <w:t>投标人之间为谋取中标或排斥特定投标人而采取的其他联合行动。</w:t>
      </w:r>
    </w:p>
    <w:p>
      <w:pPr>
        <w:spacing w:line="360" w:lineRule="auto"/>
        <w:ind w:right="1952"/>
        <w:jc w:val="left"/>
        <w:rPr>
          <w:rFonts w:ascii="宋体" w:hAnsi="宋体" w:eastAsia="宋体" w:cs="Times New Roman"/>
          <w:kern w:val="0"/>
          <w:sz w:val="23"/>
          <w:szCs w:val="23"/>
        </w:rPr>
      </w:pPr>
      <w:r>
        <w:rPr>
          <w:rFonts w:hint="eastAsia" w:ascii="宋体" w:hAnsi="宋体" w:eastAsia="宋体" w:cs="宋体"/>
          <w:kern w:val="0"/>
          <w:sz w:val="22"/>
        </w:rPr>
        <w:t>（</w:t>
      </w:r>
      <w:r>
        <w:rPr>
          <w:rFonts w:hint="eastAsia" w:ascii="Times New Roman" w:hAnsi="Times New Roman" w:eastAsia="宋体" w:cs="Times New Roman"/>
          <w:kern w:val="0"/>
          <w:sz w:val="22"/>
        </w:rPr>
        <w:t>2</w:t>
      </w:r>
      <w:r>
        <w:rPr>
          <w:rFonts w:hint="eastAsia" w:ascii="宋体" w:hAnsi="宋体" w:eastAsia="宋体" w:cs="宋体"/>
          <w:kern w:val="0"/>
          <w:sz w:val="22"/>
        </w:rPr>
        <w:t>）</w:t>
      </w:r>
      <w:r>
        <w:rPr>
          <w:rFonts w:ascii="宋体" w:hAnsi="宋体" w:eastAsia="宋体" w:cs="Times New Roman"/>
          <w:kern w:val="0"/>
          <w:sz w:val="23"/>
          <w:szCs w:val="23"/>
        </w:rPr>
        <w:t xml:space="preserve">有下列情形之一的，视为投标人相互串通投标： </w:t>
      </w:r>
    </w:p>
    <w:p>
      <w:pPr>
        <w:spacing w:line="360" w:lineRule="auto"/>
        <w:ind w:right="1952"/>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a.</w:t>
      </w:r>
      <w:r>
        <w:rPr>
          <w:rFonts w:ascii="宋体" w:hAnsi="宋体" w:eastAsia="宋体" w:cs="Times New Roman"/>
          <w:kern w:val="0"/>
          <w:sz w:val="23"/>
          <w:szCs w:val="23"/>
        </w:rPr>
        <w:t>不同投标人的投标文件由同一单位或个人编制</w:t>
      </w:r>
      <w:r>
        <w:rPr>
          <w:rFonts w:hint="eastAsia" w:ascii="宋体" w:hAnsi="宋体" w:eastAsia="宋体" w:cs="Times New Roman"/>
          <w:kern w:val="0"/>
          <w:sz w:val="23"/>
          <w:szCs w:val="23"/>
        </w:rPr>
        <w:t>；</w:t>
      </w:r>
      <w:r>
        <w:rPr>
          <w:rFonts w:ascii="宋体" w:hAnsi="宋体" w:eastAsia="宋体" w:cs="Times New Roman"/>
          <w:kern w:val="0"/>
          <w:sz w:val="23"/>
          <w:szCs w:val="23"/>
        </w:rPr>
        <w:t xml:space="preserve"> </w:t>
      </w:r>
    </w:p>
    <w:p>
      <w:pPr>
        <w:spacing w:line="360" w:lineRule="auto"/>
        <w:ind w:right="1952"/>
        <w:jc w:val="left"/>
        <w:rPr>
          <w:rFonts w:ascii="宋体" w:hAnsi="宋体" w:eastAsia="宋体" w:cs="Times New Roman"/>
          <w:kern w:val="0"/>
          <w:sz w:val="23"/>
          <w:szCs w:val="23"/>
        </w:rPr>
      </w:pPr>
      <w:r>
        <w:rPr>
          <w:rFonts w:ascii="Times New Roman" w:hAnsi="Times New Roman" w:eastAsia="Times New Roman" w:cs="Times New Roman"/>
          <w:kern w:val="0"/>
          <w:sz w:val="22"/>
        </w:rPr>
        <w:t>b.</w:t>
      </w:r>
      <w:r>
        <w:rPr>
          <w:rFonts w:ascii="宋体" w:hAnsi="宋体" w:eastAsia="宋体" w:cs="Times New Roman"/>
          <w:kern w:val="0"/>
          <w:sz w:val="23"/>
          <w:szCs w:val="23"/>
        </w:rPr>
        <w:t xml:space="preserve">不同投标人委托同一单位或个人办理投标事宜； </w:t>
      </w:r>
    </w:p>
    <w:p>
      <w:pPr>
        <w:spacing w:line="360" w:lineRule="auto"/>
        <w:ind w:right="1952"/>
        <w:jc w:val="left"/>
        <w:rPr>
          <w:rFonts w:ascii="宋体" w:hAnsi="宋体" w:eastAsia="宋体" w:cs="Times New Roman"/>
          <w:kern w:val="0"/>
          <w:sz w:val="23"/>
          <w:szCs w:val="23"/>
        </w:rPr>
      </w:pPr>
      <w:r>
        <w:rPr>
          <w:rFonts w:ascii="Times New Roman" w:hAnsi="Times New Roman" w:eastAsia="Times New Roman" w:cs="Times New Roman"/>
          <w:kern w:val="0"/>
          <w:sz w:val="16"/>
          <w:szCs w:val="16"/>
        </w:rPr>
        <w:t>C.</w:t>
      </w:r>
      <w:r>
        <w:rPr>
          <w:rFonts w:ascii="宋体" w:hAnsi="宋体" w:eastAsia="宋体" w:cs="Times New Roman"/>
          <w:kern w:val="0"/>
          <w:sz w:val="23"/>
          <w:szCs w:val="23"/>
        </w:rPr>
        <w:t>不同投标人的投标文件载明的项目管理成员为同一人；</w:t>
      </w:r>
    </w:p>
    <w:p>
      <w:pPr>
        <w:spacing w:line="360" w:lineRule="auto"/>
        <w:ind w:right="1952"/>
        <w:jc w:val="left"/>
        <w:rPr>
          <w:rFonts w:ascii="宋体" w:hAnsi="宋体" w:eastAsia="宋体" w:cs="Times New Roman"/>
          <w:kern w:val="0"/>
          <w:sz w:val="23"/>
          <w:szCs w:val="23"/>
        </w:rPr>
      </w:pPr>
      <w:r>
        <w:rPr>
          <w:rFonts w:ascii="Arial" w:hAnsi="Arial" w:eastAsia="Arial" w:cs="Arial"/>
          <w:kern w:val="0"/>
          <w:szCs w:val="21"/>
        </w:rPr>
        <w:t>d.</w:t>
      </w:r>
      <w:r>
        <w:rPr>
          <w:rFonts w:ascii="宋体" w:hAnsi="宋体" w:eastAsia="宋体" w:cs="Times New Roman"/>
          <w:kern w:val="0"/>
          <w:sz w:val="23"/>
          <w:szCs w:val="23"/>
        </w:rPr>
        <w:t>不同投标人的投标文件异常一致或投标报价呈规律性差异</w:t>
      </w:r>
      <w:r>
        <w:rPr>
          <w:rFonts w:hint="eastAsia" w:ascii="宋体" w:hAnsi="宋体" w:eastAsia="宋体" w:cs="Times New Roman"/>
          <w:kern w:val="0"/>
          <w:sz w:val="23"/>
          <w:szCs w:val="23"/>
        </w:rPr>
        <w:t>；</w:t>
      </w:r>
    </w:p>
    <w:p>
      <w:pPr>
        <w:spacing w:line="360" w:lineRule="auto"/>
        <w:ind w:right="1952"/>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e.</w:t>
      </w:r>
      <w:r>
        <w:rPr>
          <w:rFonts w:ascii="宋体" w:hAnsi="宋体" w:eastAsia="宋体" w:cs="Times New Roman"/>
          <w:kern w:val="0"/>
          <w:sz w:val="23"/>
          <w:szCs w:val="23"/>
        </w:rPr>
        <w:t>不同投标人的投标文件相互混装</w:t>
      </w:r>
      <w:r>
        <w:rPr>
          <w:rFonts w:hint="eastAsia" w:ascii="宋体" w:hAnsi="宋体" w:eastAsia="宋体" w:cs="Times New Roman"/>
          <w:kern w:val="0"/>
          <w:sz w:val="23"/>
          <w:szCs w:val="23"/>
        </w:rPr>
        <w:t>；</w:t>
      </w:r>
    </w:p>
    <w:p>
      <w:pPr>
        <w:spacing w:line="360" w:lineRule="auto"/>
        <w:ind w:right="1952"/>
        <w:jc w:val="left"/>
        <w:rPr>
          <w:rFonts w:ascii="宋体" w:hAnsi="宋体" w:eastAsia="宋体" w:cs="Times New Roman"/>
          <w:kern w:val="0"/>
          <w:sz w:val="23"/>
          <w:szCs w:val="23"/>
        </w:rPr>
      </w:pPr>
      <w:r>
        <w:rPr>
          <w:rFonts w:hint="eastAsia" w:ascii="Arial" w:hAnsi="Arial" w:eastAsia="Arial" w:cs="Arial"/>
          <w:kern w:val="0"/>
          <w:szCs w:val="21"/>
        </w:rPr>
        <w:t>f.</w:t>
      </w:r>
      <w:r>
        <w:rPr>
          <w:rFonts w:ascii="宋体" w:hAnsi="宋体" w:eastAsia="宋体" w:cs="Times New Roman"/>
          <w:kern w:val="0"/>
          <w:sz w:val="23"/>
          <w:szCs w:val="23"/>
        </w:rPr>
        <w:t>不同投标人的投标保证金从同一单位或个人的账户转出。</w:t>
      </w:r>
    </w:p>
    <w:p>
      <w:pPr>
        <w:spacing w:line="360" w:lineRule="auto"/>
        <w:ind w:right="1316"/>
        <w:jc w:val="left"/>
        <w:rPr>
          <w:rFonts w:ascii="宋体" w:hAnsi="宋体" w:eastAsia="宋体" w:cs="Times New Roman"/>
          <w:kern w:val="0"/>
          <w:sz w:val="23"/>
          <w:szCs w:val="23"/>
        </w:rPr>
      </w:pPr>
      <w:r>
        <w:rPr>
          <w:rFonts w:hint="eastAsia" w:ascii="宋体" w:hAnsi="宋体" w:eastAsia="宋体" w:cs="宋体"/>
          <w:kern w:val="0"/>
          <w:sz w:val="22"/>
        </w:rPr>
        <w:t>（</w:t>
      </w:r>
      <w:r>
        <w:rPr>
          <w:rFonts w:hint="eastAsia" w:ascii="Times New Roman" w:hAnsi="Times New Roman" w:eastAsia="宋体" w:cs="Times New Roman"/>
          <w:kern w:val="0"/>
          <w:sz w:val="22"/>
        </w:rPr>
        <w:t>3</w:t>
      </w:r>
      <w:r>
        <w:rPr>
          <w:rFonts w:hint="eastAsia" w:ascii="宋体" w:hAnsi="宋体" w:eastAsia="宋体" w:cs="宋体"/>
          <w:kern w:val="0"/>
          <w:sz w:val="22"/>
        </w:rPr>
        <w:t>）</w:t>
      </w:r>
      <w:r>
        <w:rPr>
          <w:rFonts w:ascii="宋体" w:hAnsi="宋体" w:eastAsia="宋体" w:cs="Times New Roman"/>
          <w:kern w:val="0"/>
          <w:sz w:val="23"/>
          <w:szCs w:val="23"/>
        </w:rPr>
        <w:t xml:space="preserve">有下列情形之一的，属于招标人与投标人串通投标 ：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2"/>
        </w:rPr>
        <w:t>a.</w:t>
      </w:r>
      <w:r>
        <w:rPr>
          <w:rFonts w:ascii="宋体" w:hAnsi="宋体" w:eastAsia="宋体" w:cs="Times New Roman"/>
          <w:kern w:val="0"/>
          <w:sz w:val="23"/>
          <w:szCs w:val="23"/>
        </w:rPr>
        <w:t xml:space="preserve">招标人在开标前开启投标文件并将有关信息泄露给其他投标人；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4"/>
          <w:szCs w:val="24"/>
        </w:rPr>
        <w:t>b</w:t>
      </w:r>
      <w:r>
        <w:rPr>
          <w:rFonts w:ascii="宋体" w:hAnsi="宋体" w:eastAsia="宋体" w:cs="Times New Roman"/>
          <w:kern w:val="0"/>
          <w:sz w:val="23"/>
          <w:szCs w:val="23"/>
        </w:rPr>
        <w:t xml:space="preserve">招标人直接或间接向投标人泄露标底、评标委员会成员等信息；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4"/>
          <w:szCs w:val="24"/>
        </w:rPr>
        <w:t>c</w:t>
      </w:r>
      <w:r>
        <w:rPr>
          <w:rFonts w:ascii="宋体" w:hAnsi="宋体" w:eastAsia="宋体" w:cs="Times New Roman"/>
          <w:kern w:val="0"/>
          <w:sz w:val="23"/>
          <w:szCs w:val="23"/>
        </w:rPr>
        <w:t>招标人明示或暗示投标人压低或抬高投标报价</w:t>
      </w:r>
      <w:r>
        <w:rPr>
          <w:rFonts w:hint="eastAsia" w:ascii="宋体" w:hAnsi="宋体" w:eastAsia="宋体" w:cs="Times New Roman"/>
          <w:kern w:val="0"/>
          <w:sz w:val="23"/>
          <w:szCs w:val="23"/>
        </w:rPr>
        <w:t>；</w:t>
      </w:r>
      <w:r>
        <w:rPr>
          <w:rFonts w:ascii="宋体" w:hAnsi="宋体" w:eastAsia="宋体" w:cs="Times New Roman"/>
          <w:kern w:val="0"/>
          <w:sz w:val="23"/>
          <w:szCs w:val="23"/>
        </w:rPr>
        <w:t xml:space="preserve">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2"/>
        </w:rPr>
        <w:t>d.</w:t>
      </w:r>
      <w:r>
        <w:rPr>
          <w:rFonts w:ascii="宋体" w:hAnsi="宋体" w:eastAsia="宋体" w:cs="Times New Roman"/>
          <w:kern w:val="0"/>
          <w:sz w:val="23"/>
          <w:szCs w:val="23"/>
        </w:rPr>
        <w:t xml:space="preserve">招标人授意投标人撤换、修改投标文件；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2"/>
        </w:rPr>
        <w:t>e.</w:t>
      </w:r>
      <w:r>
        <w:rPr>
          <w:rFonts w:ascii="宋体" w:hAnsi="宋体" w:eastAsia="宋体" w:cs="Times New Roman"/>
          <w:kern w:val="0"/>
          <w:sz w:val="23"/>
          <w:szCs w:val="23"/>
        </w:rPr>
        <w:t>招标人明示或暗示投标人为特定投标人中标提供方便</w:t>
      </w:r>
      <w:r>
        <w:rPr>
          <w:rFonts w:hint="eastAsia" w:ascii="宋体" w:hAnsi="宋体" w:eastAsia="宋体" w:cs="Times New Roman"/>
          <w:kern w:val="0"/>
          <w:sz w:val="23"/>
          <w:szCs w:val="23"/>
        </w:rPr>
        <w:t>；</w:t>
      </w:r>
    </w:p>
    <w:p>
      <w:pPr>
        <w:spacing w:line="360" w:lineRule="auto"/>
        <w:ind w:right="1316"/>
        <w:jc w:val="left"/>
        <w:rPr>
          <w:rFonts w:ascii="宋体" w:hAnsi="宋体" w:eastAsia="宋体" w:cs="Times New Roman"/>
          <w:kern w:val="0"/>
          <w:sz w:val="23"/>
          <w:szCs w:val="23"/>
        </w:rPr>
      </w:pPr>
      <w:r>
        <w:rPr>
          <w:rFonts w:hint="eastAsia" w:ascii="Arial" w:hAnsi="Arial" w:eastAsia="Arial" w:cs="Arial"/>
          <w:kern w:val="0"/>
          <w:szCs w:val="21"/>
        </w:rPr>
        <w:t>f.</w:t>
      </w:r>
      <w:r>
        <w:rPr>
          <w:rFonts w:ascii="宋体" w:hAnsi="宋体" w:eastAsia="宋体" w:cs="Times New Roman"/>
          <w:kern w:val="0"/>
          <w:sz w:val="23"/>
          <w:szCs w:val="23"/>
        </w:rPr>
        <w:t>招标人与投标人为谋求特定投标人中标而采取的其他串通行为。</w:t>
      </w:r>
    </w:p>
    <w:p>
      <w:pPr>
        <w:spacing w:line="360" w:lineRule="auto"/>
        <w:ind w:right="1316"/>
        <w:jc w:val="left"/>
        <w:rPr>
          <w:rFonts w:ascii="宋体" w:hAnsi="宋体" w:eastAsia="宋体" w:cs="Times New Roman"/>
          <w:kern w:val="0"/>
          <w:sz w:val="23"/>
          <w:szCs w:val="23"/>
        </w:rPr>
      </w:pPr>
      <w:r>
        <w:rPr>
          <w:rFonts w:hint="eastAsia" w:ascii="宋体" w:hAnsi="宋体" w:eastAsia="宋体" w:cs="宋体"/>
          <w:kern w:val="0"/>
          <w:sz w:val="22"/>
        </w:rPr>
        <w:t>（</w:t>
      </w:r>
      <w:r>
        <w:rPr>
          <w:rFonts w:hint="eastAsia" w:ascii="Times New Roman" w:hAnsi="Times New Roman" w:eastAsia="宋体" w:cs="Times New Roman"/>
          <w:kern w:val="0"/>
          <w:sz w:val="22"/>
        </w:rPr>
        <w:t>4</w:t>
      </w:r>
      <w:r>
        <w:rPr>
          <w:rFonts w:hint="eastAsia" w:ascii="宋体" w:hAnsi="宋体" w:eastAsia="宋体" w:cs="宋体"/>
          <w:kern w:val="0"/>
          <w:sz w:val="22"/>
        </w:rPr>
        <w:t>）</w:t>
      </w:r>
      <w:r>
        <w:rPr>
          <w:rFonts w:ascii="宋体" w:hAnsi="宋体" w:eastAsia="宋体" w:cs="Times New Roman"/>
          <w:kern w:val="0"/>
          <w:sz w:val="23"/>
          <w:szCs w:val="23"/>
        </w:rPr>
        <w:t>投标人有下列情形之一的</w:t>
      </w:r>
      <w:r>
        <w:rPr>
          <w:rFonts w:hint="eastAsia" w:ascii="宋体" w:hAnsi="宋体" w:eastAsia="宋体" w:cs="Times New Roman"/>
          <w:kern w:val="0"/>
          <w:sz w:val="23"/>
          <w:szCs w:val="23"/>
        </w:rPr>
        <w:t>，</w:t>
      </w:r>
      <w:r>
        <w:rPr>
          <w:rFonts w:ascii="宋体" w:hAnsi="宋体" w:eastAsia="宋体" w:cs="Times New Roman"/>
          <w:kern w:val="0"/>
          <w:sz w:val="23"/>
          <w:szCs w:val="23"/>
        </w:rPr>
        <w:t xml:space="preserve">属于弄虚作假的行为：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a.</w:t>
      </w:r>
      <w:r>
        <w:rPr>
          <w:rFonts w:ascii="宋体" w:hAnsi="宋体" w:eastAsia="宋体" w:cs="Times New Roman"/>
          <w:kern w:val="0"/>
          <w:sz w:val="23"/>
          <w:szCs w:val="23"/>
        </w:rPr>
        <w:t>使用通过受让或租借等方式获取的资格、资质证书投标</w:t>
      </w:r>
      <w:r>
        <w:rPr>
          <w:rFonts w:hint="eastAsia" w:ascii="宋体" w:hAnsi="宋体" w:eastAsia="宋体" w:cs="Times New Roman"/>
          <w:kern w:val="0"/>
          <w:sz w:val="23"/>
          <w:szCs w:val="23"/>
        </w:rPr>
        <w:t>；</w:t>
      </w:r>
      <w:r>
        <w:rPr>
          <w:rFonts w:ascii="宋体" w:hAnsi="宋体" w:eastAsia="宋体" w:cs="Times New Roman"/>
          <w:kern w:val="0"/>
          <w:sz w:val="23"/>
          <w:szCs w:val="23"/>
        </w:rPr>
        <w:t xml:space="preserve"> </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b.</w:t>
      </w:r>
      <w:r>
        <w:rPr>
          <w:rFonts w:ascii="宋体" w:hAnsi="宋体" w:eastAsia="宋体" w:cs="Times New Roman"/>
          <w:kern w:val="0"/>
          <w:sz w:val="23"/>
          <w:szCs w:val="23"/>
        </w:rPr>
        <w:t>使用伪造、变造的许可证件</w:t>
      </w:r>
      <w:r>
        <w:rPr>
          <w:rFonts w:hint="eastAsia" w:ascii="宋体" w:hAnsi="宋体" w:eastAsia="宋体" w:cs="Times New Roman"/>
          <w:kern w:val="0"/>
          <w:sz w:val="23"/>
          <w:szCs w:val="23"/>
        </w:rPr>
        <w:t>；</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16"/>
          <w:szCs w:val="16"/>
        </w:rPr>
        <w:t>C.</w:t>
      </w:r>
      <w:r>
        <w:rPr>
          <w:rFonts w:ascii="宋体" w:hAnsi="宋体" w:eastAsia="宋体" w:cs="Times New Roman"/>
          <w:kern w:val="0"/>
          <w:sz w:val="23"/>
          <w:szCs w:val="23"/>
        </w:rPr>
        <w:t>提供虚假的业绩；</w:t>
      </w:r>
    </w:p>
    <w:p>
      <w:pPr>
        <w:spacing w:line="360" w:lineRule="auto"/>
        <w:ind w:right="1316"/>
        <w:jc w:val="left"/>
        <w:rPr>
          <w:rFonts w:ascii="宋体" w:hAnsi="宋体" w:eastAsia="宋体" w:cs="Times New Roman"/>
          <w:kern w:val="0"/>
          <w:sz w:val="23"/>
          <w:szCs w:val="23"/>
        </w:rPr>
      </w:pPr>
      <w:r>
        <w:rPr>
          <w:rFonts w:ascii="Arial" w:hAnsi="Arial" w:eastAsia="Arial" w:cs="Arial"/>
          <w:kern w:val="0"/>
          <w:szCs w:val="21"/>
        </w:rPr>
        <w:t>d.</w:t>
      </w:r>
      <w:r>
        <w:rPr>
          <w:rFonts w:ascii="宋体" w:hAnsi="宋体" w:eastAsia="宋体" w:cs="Times New Roman"/>
          <w:kern w:val="0"/>
          <w:sz w:val="23"/>
          <w:szCs w:val="23"/>
        </w:rPr>
        <w:t>提供虚假的项目负责人或主要技术人员简历、劳动关系证明</w:t>
      </w:r>
      <w:r>
        <w:rPr>
          <w:rFonts w:hint="eastAsia" w:ascii="宋体" w:hAnsi="宋体" w:eastAsia="宋体" w:cs="Times New Roman"/>
          <w:kern w:val="0"/>
          <w:sz w:val="23"/>
          <w:szCs w:val="23"/>
        </w:rPr>
        <w:t>；</w:t>
      </w:r>
    </w:p>
    <w:p>
      <w:pPr>
        <w:spacing w:line="360" w:lineRule="auto"/>
        <w:ind w:right="1316"/>
        <w:jc w:val="left"/>
        <w:rPr>
          <w:rFonts w:ascii="宋体" w:hAnsi="宋体" w:eastAsia="宋体" w:cs="Times New Roman"/>
          <w:kern w:val="0"/>
          <w:sz w:val="23"/>
          <w:szCs w:val="23"/>
        </w:rPr>
      </w:pPr>
      <w:r>
        <w:rPr>
          <w:rFonts w:ascii="Times New Roman" w:hAnsi="Times New Roman" w:eastAsia="Times New Roman" w:cs="Times New Roman"/>
          <w:kern w:val="0"/>
          <w:sz w:val="22"/>
        </w:rPr>
        <w:t>e.</w:t>
      </w:r>
      <w:r>
        <w:rPr>
          <w:rFonts w:ascii="宋体" w:hAnsi="宋体" w:eastAsia="宋体" w:cs="Times New Roman"/>
          <w:kern w:val="0"/>
          <w:sz w:val="23"/>
          <w:szCs w:val="23"/>
        </w:rPr>
        <w:t>提供虚假的信用状况；</w:t>
      </w:r>
    </w:p>
    <w:p>
      <w:pPr>
        <w:spacing w:line="360" w:lineRule="auto"/>
        <w:ind w:right="1316"/>
        <w:jc w:val="left"/>
        <w:rPr>
          <w:rFonts w:ascii="宋体" w:hAnsi="宋体" w:eastAsia="宋体" w:cs="Times New Roman"/>
          <w:kern w:val="0"/>
          <w:sz w:val="23"/>
          <w:szCs w:val="23"/>
        </w:rPr>
      </w:pPr>
      <w:r>
        <w:rPr>
          <w:rFonts w:hint="eastAsia" w:ascii="Arial" w:hAnsi="Arial" w:eastAsia="宋体" w:cs="Arial"/>
          <w:kern w:val="0"/>
          <w:sz w:val="22"/>
        </w:rPr>
        <w:t>f.</w:t>
      </w:r>
      <w:r>
        <w:rPr>
          <w:rFonts w:ascii="宋体" w:hAnsi="宋体" w:eastAsia="宋体" w:cs="Times New Roman"/>
          <w:kern w:val="0"/>
          <w:sz w:val="23"/>
          <w:szCs w:val="23"/>
        </w:rPr>
        <w:t>其他弄虚作假的行为 。</w:t>
      </w:r>
    </w:p>
    <w:p>
      <w:pPr>
        <w:spacing w:line="360" w:lineRule="auto"/>
        <w:ind w:right="78"/>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3. 7  </w:t>
      </w:r>
      <w:r>
        <w:rPr>
          <w:rFonts w:ascii="宋体" w:hAnsi="宋体" w:eastAsia="宋体" w:cs="Times New Roman"/>
          <w:kern w:val="0"/>
          <w:sz w:val="23"/>
          <w:szCs w:val="23"/>
        </w:rPr>
        <w:t>投标文件的澄清和说明</w:t>
      </w:r>
    </w:p>
    <w:p>
      <w:pPr>
        <w:spacing w:line="360" w:lineRule="auto"/>
        <w:ind w:right="78"/>
        <w:rPr>
          <w:rFonts w:ascii="宋体" w:hAnsi="宋体" w:eastAsia="宋体" w:cs="Times New Roman"/>
          <w:kern w:val="0"/>
          <w:sz w:val="23"/>
          <w:szCs w:val="23"/>
        </w:rPr>
      </w:pPr>
      <w:r>
        <w:rPr>
          <w:rFonts w:ascii="Times New Roman" w:hAnsi="Times New Roman" w:eastAsia="Times New Roman" w:cs="Times New Roman"/>
          <w:kern w:val="0"/>
          <w:sz w:val="22"/>
        </w:rPr>
        <w:t xml:space="preserve">3.7.1 </w:t>
      </w:r>
      <w:r>
        <w:rPr>
          <w:rFonts w:ascii="宋体" w:hAnsi="宋体" w:eastAsia="宋体" w:cs="Times New Roman"/>
          <w:kern w:val="0"/>
          <w:sz w:val="23"/>
          <w:szCs w:val="23"/>
        </w:rPr>
        <w:t>在评标过程中</w:t>
      </w:r>
      <w:r>
        <w:rPr>
          <w:rFonts w:hint="eastAsia" w:ascii="宋体" w:hAnsi="宋体" w:eastAsia="宋体" w:cs="Times New Roman"/>
          <w:kern w:val="0"/>
          <w:sz w:val="23"/>
          <w:szCs w:val="23"/>
        </w:rPr>
        <w:t>，</w:t>
      </w:r>
      <w:r>
        <w:rPr>
          <w:rFonts w:ascii="宋体" w:hAnsi="宋体" w:eastAsia="宋体" w:cs="Times New Roman"/>
          <w:kern w:val="0"/>
          <w:sz w:val="23"/>
          <w:szCs w:val="23"/>
        </w:rPr>
        <w:t>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right="78"/>
        <w:jc w:val="left"/>
        <w:rPr>
          <w:rFonts w:ascii="宋体" w:hAnsi="宋体" w:eastAsia="宋体" w:cs="Times New Roman"/>
          <w:kern w:val="0"/>
          <w:sz w:val="23"/>
          <w:szCs w:val="23"/>
        </w:rPr>
      </w:pPr>
      <w:r>
        <w:rPr>
          <w:rFonts w:ascii="Times New Roman" w:hAnsi="Times New Roman" w:eastAsia="Times New Roman" w:cs="Times New Roman"/>
          <w:kern w:val="0"/>
          <w:sz w:val="22"/>
        </w:rPr>
        <w:t xml:space="preserve">3.7.2 </w:t>
      </w:r>
      <w:r>
        <w:rPr>
          <w:rFonts w:ascii="宋体" w:hAnsi="宋体" w:eastAsia="宋体" w:cs="Times New Roman"/>
          <w:kern w:val="0"/>
          <w:sz w:val="23"/>
          <w:szCs w:val="23"/>
        </w:rPr>
        <w:t>澄清和说明不得超出投标文件的范围或改 变投标文件的实质性内容（算术性错误的修正除外）。投标人的书面澄清、说明属于投标文件的组成部分。</w:t>
      </w:r>
    </w:p>
    <w:p>
      <w:pPr>
        <w:spacing w:line="360" w:lineRule="auto"/>
        <w:ind w:right="78"/>
        <w:jc w:val="left"/>
        <w:rPr>
          <w:rFonts w:ascii="Calibri" w:hAnsi="Calibri" w:eastAsia="宋体" w:cs="Times New Roman"/>
          <w:kern w:val="0"/>
          <w:sz w:val="22"/>
        </w:rPr>
      </w:pPr>
      <w:r>
        <w:rPr>
          <w:rFonts w:ascii="Times New Roman" w:hAnsi="Times New Roman" w:eastAsia="Times New Roman" w:cs="Times New Roman"/>
          <w:kern w:val="0"/>
          <w:sz w:val="22"/>
        </w:rPr>
        <w:t xml:space="preserve">3.7.3  </w:t>
      </w:r>
      <w:r>
        <w:rPr>
          <w:rFonts w:ascii="Calibri" w:hAnsi="Calibri" w:eastAsia="宋体" w:cs="Times New Roman"/>
          <w:kern w:val="0"/>
          <w:sz w:val="22"/>
        </w:rPr>
        <w:t>评标委员会不得暗示或诱导投标人作出澄清、说明，对投标人提交的澄清、说明有疑问的，可以要求投标人进一步澄清或说明，直至满足评标委员会的要求。</w:t>
      </w:r>
    </w:p>
    <w:p>
      <w:pPr>
        <w:spacing w:line="360" w:lineRule="auto"/>
        <w:ind w:right="78"/>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3.7.4 </w:t>
      </w:r>
      <w:r>
        <w:rPr>
          <w:rFonts w:ascii="宋体" w:hAnsi="宋体" w:eastAsia="宋体" w:cs="Times New Roman"/>
          <w:kern w:val="0"/>
          <w:sz w:val="23"/>
          <w:szCs w:val="23"/>
        </w:rPr>
        <w:t>凡超出招标文件规定的或给委托人带来未曾要求的利益的变化、偏差或其他因素在评标时不予考虑。</w:t>
      </w:r>
    </w:p>
    <w:p>
      <w:pPr>
        <w:spacing w:line="360" w:lineRule="auto"/>
        <w:ind w:right="78"/>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3. 8  </w:t>
      </w:r>
      <w:r>
        <w:rPr>
          <w:rFonts w:ascii="宋体" w:hAnsi="宋体" w:eastAsia="宋体" w:cs="Times New Roman"/>
          <w:kern w:val="0"/>
          <w:sz w:val="23"/>
          <w:szCs w:val="23"/>
        </w:rPr>
        <w:t>不得否决投标的情形</w:t>
      </w:r>
    </w:p>
    <w:p>
      <w:pPr>
        <w:spacing w:line="360" w:lineRule="auto"/>
        <w:ind w:right="78" w:firstLine="440"/>
        <w:jc w:val="left"/>
        <w:rPr>
          <w:rFonts w:ascii="宋体" w:hAnsi="宋体" w:eastAsia="宋体" w:cs="Times New Roman"/>
          <w:kern w:val="0"/>
          <w:sz w:val="23"/>
          <w:szCs w:val="23"/>
        </w:rPr>
      </w:pPr>
      <w:r>
        <w:rPr>
          <w:rFonts w:ascii="宋体" w:hAnsi="宋体" w:eastAsia="宋体" w:cs="Times New Roman"/>
          <w:kern w:val="0"/>
          <w:sz w:val="23"/>
          <w:szCs w:val="23"/>
        </w:rPr>
        <w:t xml:space="preserve">投标文件存在第二章“投标人须知”第 </w:t>
      </w:r>
      <w:r>
        <w:rPr>
          <w:rFonts w:ascii="Times New Roman" w:hAnsi="Times New Roman" w:eastAsia="Times New Roman" w:cs="Times New Roman"/>
          <w:kern w:val="0"/>
          <w:sz w:val="23"/>
          <w:szCs w:val="23"/>
        </w:rPr>
        <w:t xml:space="preserve">1.12.3 </w:t>
      </w:r>
      <w:r>
        <w:rPr>
          <w:rFonts w:ascii="宋体" w:hAnsi="宋体" w:eastAsia="宋体" w:cs="Times New Roman"/>
          <w:kern w:val="0"/>
          <w:sz w:val="23"/>
          <w:szCs w:val="23"/>
        </w:rPr>
        <w:t>项所列情形的，均视为细微偏差，评标委员会不得否决投标人的投标，应按照第二章“投标人须知”第</w:t>
      </w:r>
      <w:r>
        <w:rPr>
          <w:rFonts w:ascii="Times New Roman" w:hAnsi="Times New Roman" w:eastAsia="Times New Roman" w:cs="Times New Roman"/>
          <w:kern w:val="0"/>
          <w:sz w:val="23"/>
          <w:szCs w:val="23"/>
        </w:rPr>
        <w:t xml:space="preserve">1.12.4 </w:t>
      </w:r>
      <w:r>
        <w:rPr>
          <w:rFonts w:ascii="宋体" w:hAnsi="宋体" w:eastAsia="宋体" w:cs="Times New Roman"/>
          <w:kern w:val="0"/>
          <w:sz w:val="23"/>
          <w:szCs w:val="23"/>
        </w:rPr>
        <w:t>项规定的原则处理。</w:t>
      </w:r>
    </w:p>
    <w:p>
      <w:pPr>
        <w:spacing w:line="360" w:lineRule="auto"/>
        <w:ind w:right="78" w:firstLine="440"/>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3. 9 </w:t>
      </w:r>
      <w:r>
        <w:rPr>
          <w:rFonts w:ascii="宋体" w:hAnsi="宋体" w:eastAsia="宋体" w:cs="Times New Roman"/>
          <w:kern w:val="0"/>
          <w:sz w:val="23"/>
          <w:szCs w:val="23"/>
        </w:rPr>
        <w:t>评标结果</w:t>
      </w:r>
    </w:p>
    <w:p>
      <w:pPr>
        <w:spacing w:line="360" w:lineRule="auto"/>
        <w:ind w:right="78" w:firstLine="440"/>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3.9.1 </w:t>
      </w:r>
      <w:r>
        <w:rPr>
          <w:rFonts w:ascii="宋体" w:hAnsi="宋体" w:eastAsia="宋体" w:cs="Times New Roman"/>
          <w:kern w:val="0"/>
          <w:sz w:val="23"/>
          <w:szCs w:val="23"/>
        </w:rPr>
        <w:t>除第二章“投标人须知”前附表授权直接确定中标人外，评标委员会按照得分由高到低的顺序推荐中标候选人，并标明排序。</w:t>
      </w:r>
    </w:p>
    <w:p>
      <w:pPr>
        <w:spacing w:line="360" w:lineRule="auto"/>
        <w:ind w:right="78" w:firstLine="425" w:firstLineChars="185"/>
        <w:jc w:val="left"/>
        <w:rPr>
          <w:rFonts w:ascii="宋体" w:hAnsi="宋体" w:eastAsia="宋体" w:cs="Times New Roman"/>
          <w:kern w:val="0"/>
          <w:sz w:val="23"/>
          <w:szCs w:val="23"/>
        </w:rPr>
      </w:pPr>
      <w:r>
        <w:rPr>
          <w:rFonts w:ascii="Times New Roman" w:hAnsi="Times New Roman" w:eastAsia="Times New Roman" w:cs="Times New Roman"/>
          <w:kern w:val="0"/>
          <w:sz w:val="23"/>
          <w:szCs w:val="23"/>
        </w:rPr>
        <w:t xml:space="preserve">3.9.2  </w:t>
      </w:r>
      <w:r>
        <w:rPr>
          <w:rFonts w:ascii="宋体" w:hAnsi="宋体" w:eastAsia="宋体" w:cs="Times New Roman"/>
          <w:kern w:val="0"/>
          <w:sz w:val="23"/>
          <w:szCs w:val="23"/>
        </w:rPr>
        <w:t>评标委员会完成评标后，应向招标人提交书面评标报告。</w:t>
      </w:r>
    </w:p>
    <w:p>
      <w:pPr>
        <w:rPr>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3733165</wp:posOffset>
              </wp:positionH>
              <wp:positionV relativeFrom="page">
                <wp:posOffset>9876790</wp:posOffset>
              </wp:positionV>
              <wp:extent cx="140335" cy="133350"/>
              <wp:effectExtent l="0" t="0" r="0" b="0"/>
              <wp:wrapNone/>
              <wp:docPr id="29" name="文本框 33"/>
              <wp:cNvGraphicFramePr/>
              <a:graphic xmlns:a="http://schemas.openxmlformats.org/drawingml/2006/main">
                <a:graphicData uri="http://schemas.microsoft.com/office/word/2010/wordprocessingShape">
                  <wps:wsp>
                    <wps:cNvSpPr txBox="1"/>
                    <wps:spPr>
                      <a:xfrm>
                        <a:off x="0" y="0"/>
                        <a:ext cx="140335" cy="133350"/>
                      </a:xfrm>
                      <a:prstGeom prst="rect">
                        <a:avLst/>
                      </a:prstGeom>
                      <a:noFill/>
                      <a:ln w="9525">
                        <a:noFill/>
                      </a:ln>
                    </wps:spPr>
                    <wps:txbx>
                      <w:txbxContent>
                        <w:p>
                          <w:pPr>
                            <w:spacing w:line="194" w:lineRule="exact"/>
                            <w:ind w:left="20"/>
                            <w:rPr>
                              <w:rFonts w:ascii="Times New Roman" w:hAnsi="Times New Roman" w:eastAsia="Times New Roman" w:cs="Times New Roman"/>
                              <w:sz w:val="17"/>
                              <w:szCs w:val="17"/>
                            </w:rPr>
                          </w:pPr>
                          <w:r>
                            <w:rPr>
                              <w:rFonts w:ascii="Times New Roman"/>
                              <w:color w:val="1A1A21"/>
                              <w:w w:val="105"/>
                              <w:sz w:val="17"/>
                            </w:rPr>
                            <w:t>50</w:t>
                          </w:r>
                        </w:p>
                      </w:txbxContent>
                    </wps:txbx>
                    <wps:bodyPr lIns="0" tIns="0" rIns="0" bIns="0" upright="1"/>
                  </wps:wsp>
                </a:graphicData>
              </a:graphic>
            </wp:anchor>
          </w:drawing>
        </mc:Choice>
        <mc:Fallback>
          <w:pict>
            <v:shape id="文本框 33" o:spid="_x0000_s1026" o:spt="202" type="#_x0000_t202" style="position:absolute;left:0pt;margin-left:293.95pt;margin-top:777.7pt;height:10.5pt;width:11.05pt;mso-position-horizontal-relative:page;mso-position-vertical-relative:page;z-index:-251657216;mso-width-relative:page;mso-height-relative:page;" filled="f" stroked="f" coordsize="21600,21600" o:gfxdata="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8ZTW3dsAAAAN&#10;AQAADwAAAAAAAAABACAAAAAiAAAAZHJzL2Rvd25yZXYueG1sUEsBAhQAFAAAAAgAh07iQAoQjC+n&#10;AQAALgMAAA4AAAAAAAAAAQAgAAAAKgEAAGRycy9lMm9Eb2MueG1sUEsFBgAAAAAGAAYAWQEAAEMF&#10;AAAAAA==&#10;">
              <v:fill on="f" focussize="0,0"/>
              <v:stroke on="f"/>
              <v:imagedata o:title=""/>
              <o:lock v:ext="edit" aspectratio="f"/>
              <v:textbox inset="0mm,0mm,0mm,0mm">
                <w:txbxContent>
                  <w:p>
                    <w:pPr>
                      <w:spacing w:line="194" w:lineRule="exact"/>
                      <w:ind w:left="20"/>
                      <w:rPr>
                        <w:rFonts w:ascii="Times New Roman" w:hAnsi="Times New Roman" w:eastAsia="Times New Roman" w:cs="Times New Roman"/>
                        <w:sz w:val="17"/>
                        <w:szCs w:val="17"/>
                      </w:rPr>
                    </w:pPr>
                    <w:r>
                      <w:rPr>
                        <w:rFonts w:ascii="Times New Roman"/>
                        <w:color w:val="1A1A21"/>
                        <w:w w:val="105"/>
                        <w:sz w:val="17"/>
                      </w:rPr>
                      <w:t>50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3720465</wp:posOffset>
              </wp:positionH>
              <wp:positionV relativeFrom="page">
                <wp:posOffset>9876790</wp:posOffset>
              </wp:positionV>
              <wp:extent cx="175260" cy="133350"/>
              <wp:effectExtent l="0" t="0" r="0" b="0"/>
              <wp:wrapNone/>
              <wp:docPr id="30" name="文本框 32"/>
              <wp:cNvGraphicFramePr/>
              <a:graphic xmlns:a="http://schemas.openxmlformats.org/drawingml/2006/main">
                <a:graphicData uri="http://schemas.microsoft.com/office/word/2010/wordprocessingShape">
                  <wps:wsp>
                    <wps:cNvSpPr txBox="1"/>
                    <wps:spPr>
                      <a:xfrm>
                        <a:off x="0" y="0"/>
                        <a:ext cx="175260" cy="133350"/>
                      </a:xfrm>
                      <a:prstGeom prst="rect">
                        <a:avLst/>
                      </a:prstGeom>
                      <a:noFill/>
                      <a:ln w="9525">
                        <a:noFill/>
                      </a:ln>
                    </wps:spPr>
                    <wps:txbx>
                      <w:txbxContent>
                        <w:p>
                          <w:pPr>
                            <w:spacing w:line="194" w:lineRule="exact"/>
                            <w:ind w:left="40"/>
                            <w:rPr>
                              <w:rFonts w:ascii="Times New Roman" w:hAnsi="Times New Roman" w:eastAsia="Times New Roman" w:cs="Times New Roman"/>
                              <w:sz w:val="17"/>
                              <w:szCs w:val="17"/>
                            </w:rPr>
                          </w:pPr>
                          <w:r>
                            <w:fldChar w:fldCharType="begin"/>
                          </w:r>
                          <w:r>
                            <w:rPr>
                              <w:rFonts w:ascii="Times New Roman"/>
                              <w:color w:val="1C1A21"/>
                              <w:w w:val="110"/>
                              <w:sz w:val="17"/>
                            </w:rPr>
                            <w:instrText xml:space="preserve"> PAGE </w:instrText>
                          </w:r>
                          <w:r>
                            <w:fldChar w:fldCharType="separate"/>
                          </w:r>
                          <w:r>
                            <w:rPr>
                              <w:rFonts w:ascii="Times New Roman"/>
                              <w:color w:val="1C1A21"/>
                              <w:w w:val="110"/>
                              <w:sz w:val="17"/>
                            </w:rPr>
                            <w:t>52</w:t>
                          </w:r>
                          <w:r>
                            <w:fldChar w:fldCharType="end"/>
                          </w:r>
                        </w:p>
                      </w:txbxContent>
                    </wps:txbx>
                    <wps:bodyPr lIns="0" tIns="0" rIns="0" bIns="0" upright="1"/>
                  </wps:wsp>
                </a:graphicData>
              </a:graphic>
            </wp:anchor>
          </w:drawing>
        </mc:Choice>
        <mc:Fallback>
          <w:pict>
            <v:shape id="文本框 32" o:spid="_x0000_s1026" o:spt="202" type="#_x0000_t202" style="position:absolute;left:0pt;margin-left:292.95pt;margin-top:777.7pt;height:10.5pt;width:13.8pt;mso-position-horizontal-relative:page;mso-position-vertical-relative:page;z-index:-251656192;mso-width-relative:page;mso-height-relative:page;" filled="f" stroked="f" coordsize="21600,21600" o:gfxdata="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1LfaNsAAAAN&#10;AQAADwAAAAAAAAABACAAAAAiAAAAZHJzL2Rvd25yZXYueG1sUEsBAhQAFAAAAAgAh07iQJz8ljKn&#10;AQAALgMAAA4AAAAAAAAAAQAgAAAAKgEAAGRycy9lMm9Eb2MueG1sUEsFBgAAAAAGAAYAWQEAAEMF&#10;AAAAAA==&#10;">
              <v:fill on="f" focussize="0,0"/>
              <v:stroke on="f"/>
              <v:imagedata o:title=""/>
              <o:lock v:ext="edit" aspectratio="f"/>
              <v:textbox inset="0mm,0mm,0mm,0mm">
                <w:txbxContent>
                  <w:p>
                    <w:pPr>
                      <w:spacing w:line="194" w:lineRule="exact"/>
                      <w:ind w:left="40"/>
                      <w:rPr>
                        <w:rFonts w:ascii="Times New Roman" w:hAnsi="Times New Roman" w:eastAsia="Times New Roman" w:cs="Times New Roman"/>
                        <w:sz w:val="17"/>
                        <w:szCs w:val="17"/>
                      </w:rPr>
                    </w:pPr>
                    <w:r>
                      <w:fldChar w:fldCharType="begin"/>
                    </w:r>
                    <w:r>
                      <w:rPr>
                        <w:rFonts w:ascii="Times New Roman"/>
                        <w:color w:val="1C1A21"/>
                        <w:w w:val="110"/>
                        <w:sz w:val="17"/>
                      </w:rPr>
                      <w:instrText xml:space="preserve"> PAGE </w:instrText>
                    </w:r>
                    <w:r>
                      <w:fldChar w:fldCharType="separate"/>
                    </w:r>
                    <w:r>
                      <w:rPr>
                        <w:rFonts w:ascii="Times New Roman"/>
                        <w:color w:val="1C1A21"/>
                        <w:w w:val="110"/>
                        <w:sz w:val="17"/>
                      </w:rPr>
                      <w:t>52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284"/>
        </w:tabs>
        <w:ind w:left="284" w:hanging="284"/>
      </w:pPr>
      <w:rPr>
        <w:rFonts w:hint="eastAsia"/>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
    <w:nsid w:val="5AD08E71"/>
    <w:multiLevelType w:val="singleLevel"/>
    <w:tmpl w:val="5AD08E71"/>
    <w:lvl w:ilvl="0" w:tentative="0">
      <w:start w:val="2"/>
      <w:numFmt w:val="decimal"/>
      <w:suff w:val="nothing"/>
      <w:lvlText w:val="（%1）"/>
      <w:lvlJc w:val="left"/>
    </w:lvl>
  </w:abstractNum>
  <w:abstractNum w:abstractNumId="2">
    <w:nsid w:val="60E57D6C"/>
    <w:multiLevelType w:val="multilevel"/>
    <w:tmpl w:val="60E57D6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2B"/>
    <w:rsid w:val="0000025E"/>
    <w:rsid w:val="00235FE2"/>
    <w:rsid w:val="00594062"/>
    <w:rsid w:val="006D382B"/>
    <w:rsid w:val="006D6D53"/>
    <w:rsid w:val="00746762"/>
    <w:rsid w:val="007D5501"/>
    <w:rsid w:val="007E0899"/>
    <w:rsid w:val="008459AA"/>
    <w:rsid w:val="00BB20BF"/>
    <w:rsid w:val="00CD3200"/>
    <w:rsid w:val="00F10929"/>
    <w:rsid w:val="2A601F7C"/>
    <w:rsid w:val="50AB451C"/>
    <w:rsid w:val="70334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4"/>
    <w:qFormat/>
    <w:uiPriority w:val="0"/>
    <w:rPr>
      <w:rFonts w:ascii="宋体" w:hAnsi="Courier New" w:eastAsia="宋体"/>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99"/>
    <w:rPr>
      <w:sz w:val="18"/>
      <w:szCs w:val="18"/>
    </w:rPr>
  </w:style>
  <w:style w:type="character" w:customStyle="1" w:styleId="10">
    <w:name w:val="页脚 字符"/>
    <w:basedOn w:val="6"/>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1 字符"/>
    <w:basedOn w:val="6"/>
    <w:qFormat/>
    <w:uiPriority w:val="9"/>
    <w:rPr>
      <w:b/>
      <w:bCs/>
      <w:kern w:val="44"/>
      <w:sz w:val="44"/>
      <w:szCs w:val="44"/>
    </w:rPr>
  </w:style>
  <w:style w:type="character" w:customStyle="1" w:styleId="13">
    <w:name w:val="标题 1 字符1"/>
    <w:link w:val="2"/>
    <w:qFormat/>
    <w:uiPriority w:val="0"/>
    <w:rPr>
      <w:rFonts w:ascii="Times New Roman" w:hAnsi="Times New Roman" w:eastAsia="宋体" w:cs="Times New Roman"/>
      <w:b/>
      <w:bCs/>
      <w:kern w:val="44"/>
      <w:sz w:val="44"/>
      <w:szCs w:val="44"/>
    </w:rPr>
  </w:style>
  <w:style w:type="character" w:customStyle="1" w:styleId="14">
    <w:name w:val="纯文本 字符1"/>
    <w:link w:val="3"/>
    <w:qFormat/>
    <w:uiPriority w:val="0"/>
    <w:rPr>
      <w:rFonts w:ascii="宋体" w:hAnsi="Courier New" w:eastAsia="宋体"/>
    </w:rPr>
  </w:style>
  <w:style w:type="character" w:customStyle="1" w:styleId="15">
    <w:name w:val="纯文本 字符"/>
    <w:basedOn w:val="6"/>
    <w:semiHidden/>
    <w:qFormat/>
    <w:uiPriority w:val="99"/>
    <w:rPr>
      <w:rFonts w:hAnsi="Courier New" w:cs="Courier New" w:asciiTheme="minorEastAsia"/>
    </w:rPr>
  </w:style>
  <w:style w:type="table" w:customStyle="1" w:styleId="16">
    <w:name w:val="Table Normal"/>
    <w:semiHidden/>
    <w:unhideWhenUsed/>
    <w:qFormat/>
    <w:uiPriority w:val="2"/>
    <w:rPr>
      <w:rFonts w:ascii="Times New Roman" w:hAnsi="Times New Roman" w:eastAsia="宋体" w:cs="Times New Roman"/>
      <w:kern w:val="0"/>
      <w:sz w:val="20"/>
      <w:szCs w:val="20"/>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3371</Words>
  <Characters>19218</Characters>
  <Lines>160</Lines>
  <Paragraphs>45</Paragraphs>
  <TotalTime>32</TotalTime>
  <ScaleCrop>false</ScaleCrop>
  <LinksUpToDate>false</LinksUpToDate>
  <CharactersWithSpaces>22544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2018-09-14T04:20:00Z</dcterms:created>
  <dc:creator>Administrator</dc:creator>
  <cp:lastModifiedBy>猫爪爪</cp:lastModifiedBy>
  <dcterms:modified xsi:type="dcterms:W3CDTF">2018-09-21T03:09:25Z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