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700"/>
        </w:tabs>
        <w:autoSpaceDE w:val="0"/>
        <w:autoSpaceDN w:val="0"/>
        <w:adjustRightInd w:val="0"/>
        <w:spacing w:before="160" w:after="360" w:afterLines="150" w:line="360" w:lineRule="auto"/>
        <w:ind w:left="141" w:leftChars="64"/>
        <w:jc w:val="center"/>
        <w:rPr>
          <w:rFonts w:hint="eastAsia" w:ascii="仿宋_GB2312" w:hAnsi="仿宋_GB2312" w:eastAsia="仿宋_GB2312" w:cs="仿宋_GB2312"/>
          <w:b/>
          <w:spacing w:val="1"/>
          <w:position w:val="-5"/>
          <w:sz w:val="32"/>
          <w:szCs w:val="32"/>
          <w:lang w:eastAsia="zh-CN"/>
        </w:rPr>
      </w:pPr>
      <w:r>
        <w:rPr>
          <w:rFonts w:hint="eastAsia" w:ascii="仿宋_GB2312" w:hAnsi="仿宋_GB2312" w:eastAsia="仿宋_GB2312" w:cs="仿宋_GB2312"/>
          <w:b/>
          <w:spacing w:val="1"/>
          <w:position w:val="-5"/>
          <w:sz w:val="32"/>
          <w:szCs w:val="32"/>
          <w:lang w:eastAsia="zh-CN"/>
        </w:rPr>
        <w:t>附录 1    资格审查条件（资质最低</w:t>
      </w:r>
      <w:r>
        <w:rPr>
          <w:rFonts w:hint="eastAsia" w:ascii="仿宋_GB2312" w:hAnsi="仿宋_GB2312" w:eastAsia="仿宋_GB2312" w:cs="仿宋_GB2312"/>
          <w:b/>
          <w:spacing w:val="1"/>
          <w:position w:val="-5"/>
          <w:sz w:val="32"/>
          <w:szCs w:val="32"/>
          <w:lang w:val="en-US" w:eastAsia="zh-CN"/>
        </w:rPr>
        <w:t>要求</w:t>
      </w:r>
      <w:r>
        <w:rPr>
          <w:rFonts w:hint="eastAsia" w:ascii="仿宋_GB2312" w:hAnsi="仿宋_GB2312" w:eastAsia="仿宋_GB2312" w:cs="仿宋_GB2312"/>
          <w:b/>
          <w:spacing w:val="1"/>
          <w:position w:val="-5"/>
          <w:sz w:val="32"/>
          <w:szCs w:val="32"/>
          <w:lang w:eastAsia="zh-CN"/>
        </w:rPr>
        <w:t>）</w:t>
      </w:r>
    </w:p>
    <w:tbl>
      <w:tblPr>
        <w:tblStyle w:val="4"/>
        <w:tblW w:w="0" w:type="auto"/>
        <w:tblInd w:w="102" w:type="dxa"/>
        <w:tblLayout w:type="fixed"/>
        <w:tblCellMar>
          <w:top w:w="0" w:type="dxa"/>
          <w:left w:w="0" w:type="dxa"/>
          <w:bottom w:w="0" w:type="dxa"/>
          <w:right w:w="0" w:type="dxa"/>
        </w:tblCellMar>
      </w:tblPr>
      <w:tblGrid>
        <w:gridCol w:w="9398"/>
      </w:tblGrid>
      <w:tr>
        <w:tblPrEx>
          <w:tblCellMar>
            <w:top w:w="0" w:type="dxa"/>
            <w:left w:w="0" w:type="dxa"/>
            <w:bottom w:w="0" w:type="dxa"/>
            <w:right w:w="0" w:type="dxa"/>
          </w:tblCellMar>
        </w:tblPrEx>
        <w:trPr>
          <w:trHeight w:val="784" w:hRule="exact"/>
        </w:trPr>
        <w:tc>
          <w:tcPr>
            <w:tcW w:w="939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企业资质等级要求</w:t>
            </w:r>
          </w:p>
        </w:tc>
      </w:tr>
      <w:tr>
        <w:tblPrEx>
          <w:tblCellMar>
            <w:top w:w="0" w:type="dxa"/>
            <w:left w:w="0" w:type="dxa"/>
            <w:bottom w:w="0" w:type="dxa"/>
            <w:right w:w="0" w:type="dxa"/>
          </w:tblCellMar>
        </w:tblPrEx>
        <w:trPr>
          <w:trHeight w:val="7734" w:hRule="exact"/>
        </w:trPr>
        <w:tc>
          <w:tcPr>
            <w:tcW w:w="939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jc w:val="both"/>
              <w:rPr>
                <w:rFonts w:hint="eastAsia" w:ascii="仿宋_GB2312" w:hAnsi="仿宋_GB2312" w:eastAsia="仿宋_GB2312" w:cs="仿宋_GB2312"/>
                <w:sz w:val="24"/>
                <w:szCs w:val="30"/>
                <w:lang w:eastAsia="zh-CN"/>
              </w:rPr>
            </w:pPr>
          </w:p>
          <w:p>
            <w:pPr>
              <w:spacing w:after="0" w:line="360" w:lineRule="auto"/>
              <w:ind w:right="110" w:rightChars="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（1）具有独立法人资格</w:t>
            </w:r>
            <w:r>
              <w:rPr>
                <w:rFonts w:hint="eastAsia" w:ascii="仿宋_GB2312" w:hAnsi="仿宋_GB2312" w:eastAsia="仿宋_GB2312" w:cs="仿宋_GB2312"/>
                <w:sz w:val="24"/>
                <w:szCs w:val="24"/>
                <w:lang w:val="en-US" w:eastAsia="zh-CN"/>
              </w:rPr>
              <w:t>或为其他组织，</w:t>
            </w:r>
            <w:r>
              <w:rPr>
                <w:rFonts w:hint="eastAsia" w:ascii="仿宋_GB2312" w:hAnsi="仿宋_GB2312" w:eastAsia="仿宋_GB2312" w:cs="仿宋_GB2312"/>
                <w:sz w:val="24"/>
                <w:szCs w:val="24"/>
                <w:lang w:eastAsia="zh-CN"/>
              </w:rPr>
              <w:t>且企业法人营业执照合格有效。</w:t>
            </w:r>
          </w:p>
          <w:p>
            <w:pPr>
              <w:spacing w:after="0" w:line="360" w:lineRule="auto"/>
              <w:ind w:right="110" w:rightChars="50"/>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highlight w:val="none"/>
                <w:lang w:val="en-US" w:eastAsia="zh-CN"/>
              </w:rPr>
              <w:t>本次招标要求投标人须为通过全国投资项目在线审批监管平台备案含公路专业的工程咨询单位，并在人员、技术、设备、资金等方面具有相应的能力。</w:t>
            </w:r>
          </w:p>
          <w:p>
            <w:pPr>
              <w:spacing w:after="0" w:line="360" w:lineRule="auto"/>
              <w:ind w:right="110" w:rightChars="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（3）投标人未处于责令停业、投标资格被取消、财产被接管、冻结，破产状态，没有处于被禁止市场准入等情形</w:t>
            </w:r>
          </w:p>
          <w:p>
            <w:pPr>
              <w:spacing w:after="0" w:line="360" w:lineRule="auto"/>
              <w:ind w:right="110" w:rightChars="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有投资参股关系的关联企业，或具有直接管理和被管理关系的母子公司，或同一母公司的子公司，或法定代表人为同一人的两个及两个以上法人不得参加未划分标段的同一招标项目投标，单位负责人为同一人或者存在控股、管理关系的不同单位不得参加未划分标段的同一招标项目投标，否则均按否决投标处理。</w:t>
            </w:r>
          </w:p>
          <w:p>
            <w:pPr>
              <w:spacing w:after="0" w:line="360" w:lineRule="auto"/>
              <w:ind w:right="110" w:rightChars="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（5）本工程对投标人的资格审查采用资格后审方式，主要资格审查标准见招标文件，只有资格审查合格的投标人才有可能授予合同。资格后审不合格的投标人投标文件将按否决其投标处理。</w:t>
            </w:r>
          </w:p>
          <w:p>
            <w:pPr>
              <w:spacing w:after="0" w:line="360" w:lineRule="auto"/>
              <w:ind w:right="110" w:rightChars="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）在“信用中国”网站（http://www.creditchina.gov.cn/）中被列入失信被执行人名单的投标人，不得参加投标。</w:t>
            </w:r>
          </w:p>
        </w:tc>
      </w:tr>
    </w:tbl>
    <w:p>
      <w:pPr>
        <w:widowControl w:val="0"/>
        <w:autoSpaceDE w:val="0"/>
        <w:autoSpaceDN w:val="0"/>
        <w:adjustRightInd w:val="0"/>
        <w:spacing w:before="2" w:after="0" w:line="360" w:lineRule="auto"/>
        <w:ind w:left="141" w:leftChars="64" w:right="-1"/>
        <w:rPr>
          <w:rFonts w:hint="eastAsia" w:ascii="仿宋_GB2312" w:hAnsi="仿宋_GB2312" w:eastAsia="仿宋_GB2312" w:cs="仿宋_GB2312"/>
          <w:sz w:val="13"/>
          <w:szCs w:val="13"/>
          <w:lang w:eastAsia="zh-CN"/>
        </w:rPr>
      </w:pPr>
    </w:p>
    <w:p>
      <w:pPr>
        <w:widowControl w:val="0"/>
        <w:tabs>
          <w:tab w:val="left" w:pos="3700"/>
        </w:tabs>
        <w:autoSpaceDE w:val="0"/>
        <w:autoSpaceDN w:val="0"/>
        <w:adjustRightInd w:val="0"/>
        <w:spacing w:before="160" w:after="360" w:afterLines="150" w:line="360" w:lineRule="auto"/>
        <w:ind w:left="141" w:leftChars="64"/>
        <w:jc w:val="center"/>
        <w:rPr>
          <w:rFonts w:hint="eastAsia" w:ascii="仿宋_GB2312" w:hAnsi="仿宋_GB2312" w:eastAsia="仿宋_GB2312" w:cs="仿宋_GB2312"/>
          <w:b/>
          <w:spacing w:val="1"/>
          <w:position w:val="-5"/>
          <w:sz w:val="32"/>
          <w:szCs w:val="32"/>
          <w:lang w:eastAsia="zh-CN"/>
        </w:rPr>
      </w:pPr>
    </w:p>
    <w:p>
      <w:pPr>
        <w:widowControl w:val="0"/>
        <w:tabs>
          <w:tab w:val="left" w:pos="3700"/>
        </w:tabs>
        <w:autoSpaceDE w:val="0"/>
        <w:autoSpaceDN w:val="0"/>
        <w:adjustRightInd w:val="0"/>
        <w:spacing w:before="160" w:after="360" w:afterLines="150" w:line="360" w:lineRule="auto"/>
        <w:ind w:left="141" w:leftChars="64"/>
        <w:jc w:val="center"/>
        <w:rPr>
          <w:rFonts w:hint="eastAsia" w:ascii="仿宋_GB2312" w:hAnsi="仿宋_GB2312" w:eastAsia="仿宋_GB2312" w:cs="仿宋_GB2312"/>
          <w:b/>
          <w:spacing w:val="1"/>
          <w:position w:val="-5"/>
          <w:sz w:val="32"/>
          <w:szCs w:val="32"/>
          <w:lang w:eastAsia="zh-CN"/>
        </w:rPr>
      </w:pPr>
      <w:r>
        <w:rPr>
          <w:rFonts w:hint="eastAsia" w:ascii="仿宋_GB2312" w:hAnsi="仿宋_GB2312" w:eastAsia="仿宋_GB2312" w:cs="仿宋_GB2312"/>
          <w:b/>
          <w:spacing w:val="1"/>
          <w:position w:val="-5"/>
          <w:sz w:val="32"/>
          <w:szCs w:val="32"/>
          <w:lang w:eastAsia="zh-CN"/>
        </w:rPr>
        <w:br w:type="page"/>
      </w:r>
      <w:r>
        <w:rPr>
          <w:rFonts w:hint="eastAsia" w:ascii="仿宋_GB2312" w:hAnsi="仿宋_GB2312" w:eastAsia="仿宋_GB2312" w:cs="仿宋_GB2312"/>
          <w:b/>
          <w:spacing w:val="1"/>
          <w:position w:val="-5"/>
          <w:sz w:val="32"/>
          <w:szCs w:val="32"/>
          <w:lang w:eastAsia="zh-CN"/>
        </w:rPr>
        <w:t>附录 2    资格审查条件（业绩最低条件）</w:t>
      </w:r>
    </w:p>
    <w:tbl>
      <w:tblPr>
        <w:tblStyle w:val="4"/>
        <w:tblW w:w="0" w:type="auto"/>
        <w:tblInd w:w="102" w:type="dxa"/>
        <w:tblLayout w:type="fixed"/>
        <w:tblCellMar>
          <w:top w:w="0" w:type="dxa"/>
          <w:left w:w="0" w:type="dxa"/>
          <w:bottom w:w="0" w:type="dxa"/>
          <w:right w:w="0" w:type="dxa"/>
        </w:tblCellMar>
      </w:tblPr>
      <w:tblGrid>
        <w:gridCol w:w="9458"/>
      </w:tblGrid>
      <w:tr>
        <w:tblPrEx>
          <w:tblCellMar>
            <w:top w:w="0" w:type="dxa"/>
            <w:left w:w="0" w:type="dxa"/>
            <w:bottom w:w="0" w:type="dxa"/>
            <w:right w:w="0" w:type="dxa"/>
          </w:tblCellMar>
        </w:tblPrEx>
        <w:trPr>
          <w:trHeight w:val="914" w:hRule="exact"/>
        </w:trPr>
        <w:tc>
          <w:tcPr>
            <w:tcW w:w="945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业绩要求</w:t>
            </w:r>
          </w:p>
        </w:tc>
      </w:tr>
      <w:tr>
        <w:tblPrEx>
          <w:tblCellMar>
            <w:top w:w="0" w:type="dxa"/>
            <w:left w:w="0" w:type="dxa"/>
            <w:bottom w:w="0" w:type="dxa"/>
            <w:right w:w="0" w:type="dxa"/>
          </w:tblCellMar>
        </w:tblPrEx>
        <w:trPr>
          <w:trHeight w:val="1975" w:hRule="exact"/>
        </w:trPr>
        <w:tc>
          <w:tcPr>
            <w:tcW w:w="945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firstLine="240" w:firstLineChars="1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highlight w:val="none"/>
                <w:lang w:val="en-US" w:eastAsia="zh-CN"/>
              </w:rPr>
              <w:t>近3年独立完成过3项（不小于30km）的一级公路及以上工程可行性研究报告编制工作，并在人员、技术、设备、资金等方面具有相应的能力。</w:t>
            </w:r>
          </w:p>
          <w:p>
            <w:pPr>
              <w:widowControl w:val="0"/>
              <w:autoSpaceDE w:val="0"/>
              <w:autoSpaceDN w:val="0"/>
              <w:adjustRightInd w:val="0"/>
              <w:spacing w:after="0" w:line="360" w:lineRule="auto"/>
              <w:ind w:left="141" w:leftChars="64"/>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（上述业绩应要求投标人出具中标通知书或合同协议书，母子公司的业绩不能相互使用；单位名称发生变更的如未提供有效的企业变更批件，则其业绩不予计算)。</w:t>
            </w:r>
          </w:p>
        </w:tc>
      </w:tr>
    </w:tbl>
    <w:p>
      <w:pPr>
        <w:widowControl w:val="0"/>
        <w:autoSpaceDE w:val="0"/>
        <w:autoSpaceDN w:val="0"/>
        <w:adjustRightInd w:val="0"/>
        <w:spacing w:before="2" w:after="0" w:line="360" w:lineRule="auto"/>
        <w:ind w:left="141" w:leftChars="64" w:right="-1"/>
        <w:rPr>
          <w:rFonts w:hint="eastAsia" w:ascii="仿宋_GB2312" w:hAnsi="仿宋_GB2312" w:eastAsia="仿宋_GB2312" w:cs="仿宋_GB2312"/>
          <w:sz w:val="13"/>
          <w:szCs w:val="13"/>
          <w:lang w:eastAsia="zh-CN"/>
        </w:rPr>
      </w:pPr>
    </w:p>
    <w:p>
      <w:pPr>
        <w:widowControl w:val="0"/>
        <w:autoSpaceDE w:val="0"/>
        <w:autoSpaceDN w:val="0"/>
        <w:adjustRightInd w:val="0"/>
        <w:spacing w:after="0" w:line="360" w:lineRule="auto"/>
        <w:ind w:left="141" w:leftChars="64" w:right="-1"/>
        <w:rPr>
          <w:rFonts w:hint="eastAsia" w:ascii="仿宋_GB2312" w:hAnsi="仿宋_GB2312" w:eastAsia="仿宋_GB2312" w:cs="仿宋_GB2312"/>
          <w:sz w:val="20"/>
          <w:szCs w:val="20"/>
          <w:lang w:eastAsia="zh-CN"/>
        </w:rPr>
      </w:pPr>
    </w:p>
    <w:p>
      <w:pPr>
        <w:widowControl w:val="0"/>
        <w:autoSpaceDE w:val="0"/>
        <w:autoSpaceDN w:val="0"/>
        <w:adjustRightInd w:val="0"/>
        <w:spacing w:before="36" w:after="0" w:line="360" w:lineRule="auto"/>
        <w:ind w:left="141" w:leftChars="64" w:right="-1"/>
        <w:jc w:val="center"/>
        <w:rPr>
          <w:rFonts w:hint="eastAsia" w:ascii="仿宋_GB2312" w:hAnsi="仿宋_GB2312" w:eastAsia="仿宋_GB2312" w:cs="仿宋_GB2312"/>
          <w:sz w:val="18"/>
          <w:szCs w:val="18"/>
          <w:lang w:eastAsia="zh-CN"/>
        </w:rPr>
        <w:sectPr>
          <w:pgSz w:w="11907" w:h="16839"/>
          <w:pgMar w:top="1191" w:right="1147" w:bottom="1191" w:left="1276" w:header="454" w:footer="720" w:gutter="0"/>
          <w:cols w:space="720" w:num="1"/>
        </w:sectPr>
      </w:pPr>
    </w:p>
    <w:p>
      <w:pPr>
        <w:widowControl w:val="0"/>
        <w:tabs>
          <w:tab w:val="left" w:pos="3700"/>
        </w:tabs>
        <w:autoSpaceDE w:val="0"/>
        <w:autoSpaceDN w:val="0"/>
        <w:adjustRightInd w:val="0"/>
        <w:spacing w:before="160" w:after="360" w:afterLines="150" w:line="360" w:lineRule="auto"/>
        <w:ind w:left="141" w:leftChars="64"/>
        <w:jc w:val="center"/>
        <w:rPr>
          <w:rFonts w:hint="eastAsia" w:ascii="仿宋_GB2312" w:hAnsi="仿宋_GB2312" w:eastAsia="仿宋_GB2312" w:cs="仿宋_GB2312"/>
          <w:b/>
          <w:spacing w:val="1"/>
          <w:position w:val="-5"/>
          <w:sz w:val="32"/>
          <w:szCs w:val="32"/>
          <w:lang w:eastAsia="zh-CN"/>
        </w:rPr>
      </w:pPr>
      <w:r>
        <w:rPr>
          <w:rFonts w:hint="eastAsia" w:ascii="仿宋_GB2312" w:hAnsi="仿宋_GB2312" w:eastAsia="仿宋_GB2312" w:cs="仿宋_GB2312"/>
          <w:b/>
          <w:spacing w:val="1"/>
          <w:position w:val="-5"/>
          <w:sz w:val="32"/>
          <w:szCs w:val="32"/>
          <w:lang w:eastAsia="zh-CN"/>
        </w:rPr>
        <w:t>附录 3  资格审查条件（主要人员最低要求）</w:t>
      </w:r>
    </w:p>
    <w:tbl>
      <w:tblPr>
        <w:tblStyle w:val="4"/>
        <w:tblW w:w="0" w:type="auto"/>
        <w:tblInd w:w="102" w:type="dxa"/>
        <w:tblLayout w:type="fixed"/>
        <w:tblCellMar>
          <w:top w:w="0" w:type="dxa"/>
          <w:left w:w="0" w:type="dxa"/>
          <w:bottom w:w="0" w:type="dxa"/>
          <w:right w:w="0" w:type="dxa"/>
        </w:tblCellMar>
      </w:tblPr>
      <w:tblGrid>
        <w:gridCol w:w="2808"/>
        <w:gridCol w:w="1485"/>
        <w:gridCol w:w="5103"/>
      </w:tblGrid>
      <w:tr>
        <w:tblPrEx>
          <w:tblCellMar>
            <w:top w:w="0" w:type="dxa"/>
            <w:left w:w="0" w:type="dxa"/>
            <w:bottom w:w="0" w:type="dxa"/>
            <w:right w:w="0" w:type="dxa"/>
          </w:tblCellMar>
        </w:tblPrEx>
        <w:trPr>
          <w:trHeight w:val="862" w:hRule="exact"/>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51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资格要求</w:t>
            </w:r>
          </w:p>
        </w:tc>
      </w:tr>
      <w:tr>
        <w:tblPrEx>
          <w:tblCellMar>
            <w:top w:w="0" w:type="dxa"/>
            <w:left w:w="0" w:type="dxa"/>
            <w:bottom w:w="0" w:type="dxa"/>
            <w:right w:w="0" w:type="dxa"/>
          </w:tblCellMar>
        </w:tblPrEx>
        <w:trPr>
          <w:trHeight w:val="1271" w:hRule="exact"/>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1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highlight w:val="none"/>
                <w:lang w:val="en-US" w:eastAsia="zh-CN"/>
              </w:rPr>
              <w:t>项目负责人须具备注册咨询工程师（投资）职业资格证书。</w:t>
            </w:r>
          </w:p>
        </w:tc>
      </w:tr>
      <w:tr>
        <w:tblPrEx>
          <w:tblCellMar>
            <w:top w:w="0" w:type="dxa"/>
            <w:left w:w="0" w:type="dxa"/>
            <w:bottom w:w="0" w:type="dxa"/>
            <w:right w:w="0" w:type="dxa"/>
          </w:tblCellMar>
        </w:tblPrEx>
        <w:trPr>
          <w:trHeight w:val="1276" w:hRule="exact"/>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项目组成员</w:t>
            </w:r>
          </w:p>
        </w:tc>
        <w:tc>
          <w:tcPr>
            <w:tcW w:w="6588"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ind w:left="141" w:leftChars="64" w:right="-1"/>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满足项目招标要求的前提下自行配备。</w:t>
            </w:r>
          </w:p>
        </w:tc>
      </w:tr>
    </w:tbl>
    <w:p>
      <w:pPr>
        <w:widowControl w:val="0"/>
        <w:autoSpaceDE w:val="0"/>
        <w:autoSpaceDN w:val="0"/>
        <w:adjustRightInd w:val="0"/>
        <w:spacing w:before="9" w:after="0" w:line="360" w:lineRule="auto"/>
        <w:ind w:left="141" w:leftChars="64" w:right="-1"/>
        <w:rPr>
          <w:rFonts w:hint="eastAsia" w:ascii="仿宋_GB2312" w:hAnsi="仿宋_GB2312" w:eastAsia="仿宋_GB2312" w:cs="仿宋_GB2312"/>
          <w:sz w:val="11"/>
          <w:szCs w:val="11"/>
          <w:lang w:eastAsia="zh-CN"/>
        </w:rPr>
      </w:pPr>
    </w:p>
    <w:p>
      <w:pPr>
        <w:spacing w:line="360" w:lineRule="auto"/>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 xml:space="preserve">注： </w:t>
      </w:r>
    </w:p>
    <w:p>
      <w:pPr>
        <w:spacing w:line="360" w:lineRule="auto"/>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1．应附投标人所属社保机构出具的拟委任的附录3所列人员近1年社保缴费证明或其他能够证明拟委任的项目负责人参加社保的有效证明材料(并加盖社保机构单位章)。如有造假查出，不良记录进入兵团公路建设市场信用体系停止三年投标资格。</w:t>
      </w:r>
    </w:p>
    <w:p>
      <w:pPr>
        <w:spacing w:line="360" w:lineRule="auto"/>
        <w:ind w:firstLine="480" w:firstLineChars="200"/>
        <w:rPr>
          <w:rFonts w:hint="eastAsia" w:ascii="仿宋_GB2312" w:hAnsi="仿宋_GB2312" w:eastAsia="仿宋_GB2312" w:cs="仿宋_GB2312"/>
          <w:sz w:val="24"/>
          <w:lang w:eastAsia="zh-CN"/>
        </w:rPr>
        <w:sectPr>
          <w:pgSz w:w="11907" w:h="16839"/>
          <w:pgMar w:top="1440" w:right="1134" w:bottom="1440" w:left="1134" w:header="720" w:footer="907" w:gutter="0"/>
          <w:cols w:space="720" w:num="1"/>
          <w:docGrid w:linePitch="312" w:charSpace="0"/>
        </w:sectPr>
      </w:pPr>
      <w:r>
        <w:rPr>
          <w:rFonts w:hint="eastAsia" w:ascii="仿宋_GB2312" w:hAnsi="仿宋_GB2312" w:eastAsia="仿宋_GB2312" w:cs="仿宋_GB2312"/>
          <w:sz w:val="24"/>
          <w:lang w:eastAsia="zh-CN"/>
        </w:rPr>
        <w:t>2、投标人拟投入的主要人员应当在投标文件中进行填报，其他管理和技术人员的具体人选由招标人和中标人在合同谈判阶段确定。</w:t>
      </w:r>
    </w:p>
    <w:p>
      <w:pPr>
        <w:widowControl w:val="0"/>
        <w:tabs>
          <w:tab w:val="left" w:pos="3700"/>
        </w:tabs>
        <w:autoSpaceDE w:val="0"/>
        <w:autoSpaceDN w:val="0"/>
        <w:adjustRightInd w:val="0"/>
        <w:spacing w:before="160" w:after="360" w:afterLines="150" w:line="360" w:lineRule="auto"/>
        <w:ind w:left="141" w:leftChars="64"/>
        <w:jc w:val="center"/>
        <w:rPr>
          <w:rFonts w:hint="eastAsia" w:ascii="仿宋_GB2312" w:hAnsi="仿宋_GB2312" w:eastAsia="仿宋_GB2312" w:cs="仿宋_GB2312"/>
          <w:b/>
          <w:spacing w:val="1"/>
          <w:position w:val="-5"/>
          <w:sz w:val="32"/>
          <w:szCs w:val="32"/>
          <w:lang w:eastAsia="zh-CN"/>
        </w:rPr>
      </w:pPr>
      <w:r>
        <w:rPr>
          <w:rFonts w:hint="eastAsia" w:ascii="仿宋_GB2312" w:hAnsi="仿宋_GB2312" w:eastAsia="仿宋_GB2312" w:cs="仿宋_GB2312"/>
          <w:b/>
          <w:spacing w:val="1"/>
          <w:position w:val="-5"/>
          <w:sz w:val="32"/>
          <w:szCs w:val="32"/>
          <w:lang w:eastAsia="zh-CN"/>
        </w:rPr>
        <w:t xml:space="preserve">  附录 4  资格审查条件（信誉最低条件） </w:t>
      </w:r>
    </w:p>
    <w:tbl>
      <w:tblPr>
        <w:tblStyle w:val="4"/>
        <w:tblW w:w="0" w:type="auto"/>
        <w:tblInd w:w="102" w:type="dxa"/>
        <w:tblLayout w:type="fixed"/>
        <w:tblCellMar>
          <w:top w:w="0" w:type="dxa"/>
          <w:left w:w="0" w:type="dxa"/>
          <w:bottom w:w="0" w:type="dxa"/>
          <w:right w:w="0" w:type="dxa"/>
        </w:tblCellMar>
      </w:tblPr>
      <w:tblGrid>
        <w:gridCol w:w="9257"/>
      </w:tblGrid>
      <w:tr>
        <w:tblPrEx>
          <w:tblCellMar>
            <w:top w:w="0" w:type="dxa"/>
            <w:left w:w="0" w:type="dxa"/>
            <w:bottom w:w="0" w:type="dxa"/>
            <w:right w:w="0" w:type="dxa"/>
          </w:tblCellMar>
        </w:tblPrEx>
        <w:trPr>
          <w:trHeight w:val="836" w:hRule="exact"/>
        </w:trPr>
        <w:tc>
          <w:tcPr>
            <w:tcW w:w="925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信誉要求</w:t>
            </w:r>
          </w:p>
        </w:tc>
      </w:tr>
      <w:tr>
        <w:tblPrEx>
          <w:tblCellMar>
            <w:top w:w="0" w:type="dxa"/>
            <w:left w:w="0" w:type="dxa"/>
            <w:bottom w:w="0" w:type="dxa"/>
            <w:right w:w="0" w:type="dxa"/>
          </w:tblCellMar>
        </w:tblPrEx>
        <w:trPr>
          <w:trHeight w:val="5440" w:hRule="exact"/>
        </w:trPr>
        <w:tc>
          <w:tcPr>
            <w:tcW w:w="925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360" w:firstLineChars="150"/>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1．投标人未处于责令停业的行政处罚或正处于财务被冻结，破产状态；</w:t>
            </w:r>
          </w:p>
          <w:p>
            <w:pPr>
              <w:spacing w:line="360" w:lineRule="auto"/>
              <w:ind w:firstLine="360" w:firstLineChars="150"/>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2．投标人未处于国家交通运输部、新疆自治区、兵团交通行政主管部门取消投标资格的行政处罚期；</w:t>
            </w:r>
          </w:p>
          <w:p>
            <w:pPr>
              <w:spacing w:line="360" w:lineRule="auto"/>
              <w:ind w:firstLine="360" w:firstLineChars="150"/>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3．投标人没有涉及正在诉讼的案件，或涉及正在诉讼的案件但经评审委员会认定不会对承担项目造成重大影响；</w:t>
            </w:r>
          </w:p>
          <w:p>
            <w:pPr>
              <w:spacing w:line="360" w:lineRule="auto"/>
              <w:ind w:firstLine="360" w:firstLineChars="150"/>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4．在本项目评标结束后，如果接到检察机关的正式书面材料表明申请人有商业贿赂行为，招标人将取消其投标资格或中标资格。</w:t>
            </w:r>
          </w:p>
          <w:p>
            <w:pPr>
              <w:spacing w:line="360" w:lineRule="auto"/>
              <w:ind w:firstLine="360" w:firstLineChars="150"/>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5. 未被列入信用中国”网站（http://www.creditchina.gov.cn/）失信被执行人名单。</w:t>
            </w:r>
          </w:p>
        </w:tc>
      </w:tr>
    </w:tbl>
    <w:p/>
    <w:p/>
    <w:p/>
    <w:p/>
    <w:p/>
    <w:p/>
    <w:p/>
    <w:p/>
    <w:p/>
    <w:p/>
    <w:p/>
    <w:p/>
    <w:p/>
    <w:p/>
    <w:p>
      <w:pPr>
        <w:widowControl w:val="0"/>
        <w:tabs>
          <w:tab w:val="left" w:pos="3625"/>
        </w:tabs>
        <w:autoSpaceDE w:val="0"/>
        <w:autoSpaceDN w:val="0"/>
        <w:adjustRightInd w:val="0"/>
        <w:spacing w:before="240" w:beforeLines="100" w:after="0" w:line="360" w:lineRule="auto"/>
        <w:jc w:val="center"/>
        <w:rPr>
          <w:rFonts w:hint="eastAsia" w:ascii="仿宋_GB2312" w:hAnsi="仿宋_GB2312" w:eastAsia="仿宋_GB2312" w:cs="仿宋_GB2312"/>
          <w:b/>
          <w:spacing w:val="1"/>
          <w:position w:val="-4"/>
          <w:sz w:val="28"/>
          <w:szCs w:val="36"/>
          <w:lang w:eastAsia="zh-CN"/>
        </w:rPr>
      </w:pPr>
      <w:r>
        <w:rPr>
          <w:rFonts w:hint="eastAsia" w:ascii="仿宋_GB2312" w:hAnsi="仿宋_GB2312" w:eastAsia="仿宋_GB2312" w:cs="仿宋_GB2312"/>
          <w:b/>
          <w:spacing w:val="1"/>
          <w:position w:val="-4"/>
          <w:sz w:val="36"/>
          <w:szCs w:val="36"/>
          <w:lang w:eastAsia="zh-CN"/>
        </w:rPr>
        <w:t>第三章</w:t>
      </w:r>
      <w:r>
        <w:rPr>
          <w:rFonts w:hint="eastAsia" w:ascii="仿宋_GB2312" w:hAnsi="仿宋_GB2312" w:eastAsia="仿宋_GB2312" w:cs="仿宋_GB2312"/>
          <w:b/>
          <w:spacing w:val="1"/>
          <w:position w:val="-4"/>
          <w:sz w:val="36"/>
          <w:szCs w:val="36"/>
          <w:lang w:val="en-US" w:eastAsia="zh-CN"/>
        </w:rPr>
        <w:t xml:space="preserve"> </w:t>
      </w:r>
      <w:r>
        <w:rPr>
          <w:rFonts w:hint="eastAsia" w:ascii="仿宋_GB2312" w:hAnsi="仿宋_GB2312" w:eastAsia="仿宋_GB2312" w:cs="仿宋_GB2312"/>
          <w:b/>
          <w:spacing w:val="1"/>
          <w:position w:val="-4"/>
          <w:sz w:val="36"/>
          <w:szCs w:val="36"/>
          <w:lang w:eastAsia="zh-CN"/>
        </w:rPr>
        <w:t>评标办法（综合评分法 I）</w:t>
      </w:r>
    </w:p>
    <w:p>
      <w:pPr>
        <w:widowControl w:val="0"/>
        <w:autoSpaceDE w:val="0"/>
        <w:autoSpaceDN w:val="0"/>
        <w:adjustRightInd w:val="0"/>
        <w:spacing w:before="120" w:beforeLines="50" w:after="120" w:afterLines="50" w:line="360" w:lineRule="auto"/>
        <w:ind w:left="141" w:leftChars="64"/>
        <w:jc w:val="center"/>
        <w:rPr>
          <w:rFonts w:hint="eastAsia" w:ascii="仿宋_GB2312" w:hAnsi="仿宋_GB2312" w:eastAsia="仿宋_GB2312" w:cs="仿宋_GB2312"/>
          <w:spacing w:val="1"/>
          <w:position w:val="-3"/>
          <w:sz w:val="28"/>
          <w:szCs w:val="28"/>
          <w:lang w:eastAsia="zh-CN"/>
        </w:rPr>
      </w:pPr>
      <w:r>
        <w:rPr>
          <w:rFonts w:hint="eastAsia" w:ascii="仿宋_GB2312" w:hAnsi="仿宋_GB2312" w:eastAsia="仿宋_GB2312" w:cs="仿宋_GB2312"/>
          <w:spacing w:val="1"/>
          <w:position w:val="-3"/>
          <w:sz w:val="28"/>
          <w:szCs w:val="28"/>
          <w:lang w:eastAsia="zh-CN"/>
        </w:rPr>
        <w:t>评标办法前附表</w:t>
      </w:r>
    </w:p>
    <w:p>
      <w:pPr>
        <w:widowControl w:val="0"/>
        <w:autoSpaceDE w:val="0"/>
        <w:autoSpaceDN w:val="0"/>
        <w:adjustRightInd w:val="0"/>
        <w:spacing w:before="1" w:after="0" w:line="360" w:lineRule="auto"/>
        <w:ind w:left="141" w:leftChars="64" w:right="-1"/>
        <w:rPr>
          <w:rFonts w:hint="eastAsia" w:ascii="仿宋_GB2312" w:hAnsi="仿宋_GB2312" w:eastAsia="仿宋_GB2312" w:cs="仿宋_GB2312"/>
          <w:sz w:val="4"/>
          <w:szCs w:val="4"/>
          <w:lang w:eastAsia="zh-CN"/>
        </w:rPr>
      </w:pPr>
    </w:p>
    <w:tbl>
      <w:tblPr>
        <w:tblStyle w:val="4"/>
        <w:tblW w:w="0" w:type="auto"/>
        <w:tblInd w:w="110" w:type="dxa"/>
        <w:tblLayout w:type="fixed"/>
        <w:tblCellMar>
          <w:top w:w="0" w:type="dxa"/>
          <w:left w:w="0" w:type="dxa"/>
          <w:bottom w:w="0" w:type="dxa"/>
          <w:right w:w="0" w:type="dxa"/>
        </w:tblCellMar>
      </w:tblPr>
      <w:tblGrid>
        <w:gridCol w:w="1308"/>
        <w:gridCol w:w="1276"/>
        <w:gridCol w:w="6804"/>
      </w:tblGrid>
      <w:tr>
        <w:trPr>
          <w:trHeight w:val="422" w:hRule="exact"/>
        </w:trPr>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条款号</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条款名称</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评审因素和评审标准</w:t>
            </w:r>
          </w:p>
        </w:tc>
      </w:tr>
      <w:tr>
        <w:tblPrEx>
          <w:tblCellMar>
            <w:top w:w="0" w:type="dxa"/>
            <w:left w:w="0" w:type="dxa"/>
            <w:bottom w:w="0" w:type="dxa"/>
            <w:right w:w="0" w:type="dxa"/>
          </w:tblCellMar>
        </w:tblPrEx>
        <w:trPr>
          <w:trHeight w:val="3720" w:hRule="exact"/>
        </w:trPr>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pacing w:val="1"/>
                <w:sz w:val="24"/>
                <w:szCs w:val="24"/>
                <w:lang w:eastAsia="zh-CN"/>
              </w:rPr>
              <w:t>.</w:t>
            </w:r>
            <w:r>
              <w:rPr>
                <w:rFonts w:hint="eastAsia" w:ascii="仿宋_GB2312" w:hAnsi="仿宋_GB2312" w:eastAsia="仿宋_GB2312" w:cs="仿宋_GB2312"/>
                <w:sz w:val="24"/>
                <w:szCs w:val="24"/>
                <w:lang w:eastAsia="zh-CN"/>
              </w:rPr>
              <w:t>2</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资格审查</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before="120" w:beforeLines="50" w:after="0" w:line="240" w:lineRule="auto"/>
              <w:ind w:left="141" w:leftChars="64"/>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pacing w:val="1"/>
                <w:sz w:val="24"/>
                <w:szCs w:val="24"/>
                <w:lang w:eastAsia="zh-CN"/>
              </w:rPr>
              <w:t>1</w:t>
            </w:r>
            <w:r>
              <w:rPr>
                <w:rFonts w:hint="eastAsia" w:ascii="仿宋_GB2312" w:hAnsi="仿宋_GB2312" w:eastAsia="仿宋_GB2312" w:cs="仿宋_GB2312"/>
                <w:sz w:val="24"/>
                <w:szCs w:val="24"/>
                <w:lang w:eastAsia="zh-CN"/>
              </w:rPr>
              <w:t>）投标</w:t>
            </w:r>
            <w:r>
              <w:rPr>
                <w:rFonts w:hint="eastAsia" w:ascii="仿宋_GB2312" w:hAnsi="仿宋_GB2312" w:eastAsia="仿宋_GB2312" w:cs="仿宋_GB2312"/>
                <w:spacing w:val="-1"/>
                <w:sz w:val="24"/>
                <w:szCs w:val="24"/>
                <w:lang w:eastAsia="zh-CN"/>
              </w:rPr>
              <w:t>人</w:t>
            </w:r>
            <w:r>
              <w:rPr>
                <w:rFonts w:hint="eastAsia" w:ascii="仿宋_GB2312" w:hAnsi="仿宋_GB2312" w:eastAsia="仿宋_GB2312" w:cs="仿宋_GB2312"/>
                <w:sz w:val="24"/>
                <w:szCs w:val="24"/>
                <w:lang w:eastAsia="zh-CN"/>
              </w:rPr>
              <w:t>具备有效的营业执照和基本账户开户许可证；</w:t>
            </w:r>
          </w:p>
          <w:p>
            <w:pPr>
              <w:keepNext w:val="0"/>
              <w:keepLines w:val="0"/>
              <w:pageBreakBefore w:val="0"/>
              <w:widowControl w:val="0"/>
              <w:kinsoku/>
              <w:wordWrap/>
              <w:overflowPunct/>
              <w:topLinePunct w:val="0"/>
              <w:autoSpaceDE w:val="0"/>
              <w:autoSpaceDN w:val="0"/>
              <w:bidi w:val="0"/>
              <w:adjustRightInd w:val="0"/>
              <w:snapToGrid/>
              <w:spacing w:before="3" w:after="0" w:line="240" w:lineRule="auto"/>
              <w:ind w:left="751" w:leftChars="64" w:hanging="610" w:hangingChars="25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2"/>
                <w:sz w:val="24"/>
                <w:szCs w:val="24"/>
                <w:lang w:eastAsia="zh-CN"/>
              </w:rPr>
              <w:t>（</w:t>
            </w:r>
            <w:r>
              <w:rPr>
                <w:rFonts w:hint="eastAsia" w:ascii="仿宋_GB2312" w:hAnsi="仿宋_GB2312" w:eastAsia="仿宋_GB2312" w:cs="仿宋_GB2312"/>
                <w:spacing w:val="3"/>
                <w:sz w:val="24"/>
                <w:szCs w:val="24"/>
                <w:lang w:eastAsia="zh-CN"/>
              </w:rPr>
              <w:t>2</w:t>
            </w:r>
            <w:r>
              <w:rPr>
                <w:rFonts w:hint="eastAsia" w:ascii="仿宋_GB2312" w:hAnsi="仿宋_GB2312" w:eastAsia="仿宋_GB2312" w:cs="仿宋_GB2312"/>
                <w:spacing w:val="2"/>
                <w:sz w:val="24"/>
                <w:szCs w:val="24"/>
                <w:lang w:eastAsia="zh-CN"/>
              </w:rPr>
              <w:t>）</w:t>
            </w:r>
            <w:r>
              <w:rPr>
                <w:rFonts w:hint="eastAsia" w:ascii="仿宋_GB2312" w:hAnsi="仿宋_GB2312" w:eastAsia="仿宋_GB2312" w:cs="仿宋_GB2312"/>
                <w:spacing w:val="1"/>
                <w:sz w:val="24"/>
                <w:szCs w:val="24"/>
                <w:lang w:eastAsia="zh-CN"/>
              </w:rPr>
              <w:t>投</w:t>
            </w:r>
            <w:r>
              <w:rPr>
                <w:rFonts w:hint="eastAsia" w:ascii="仿宋_GB2312" w:hAnsi="仿宋_GB2312" w:eastAsia="仿宋_GB2312" w:cs="仿宋_GB2312"/>
                <w:spacing w:val="2"/>
                <w:sz w:val="24"/>
                <w:szCs w:val="24"/>
                <w:lang w:eastAsia="zh-CN"/>
              </w:rPr>
              <w:t>标</w:t>
            </w:r>
            <w:r>
              <w:rPr>
                <w:rFonts w:hint="eastAsia" w:ascii="仿宋_GB2312" w:hAnsi="仿宋_GB2312" w:eastAsia="仿宋_GB2312" w:cs="仿宋_GB2312"/>
                <w:spacing w:val="1"/>
                <w:sz w:val="24"/>
                <w:szCs w:val="24"/>
                <w:lang w:eastAsia="zh-CN"/>
              </w:rPr>
              <w:t>人</w:t>
            </w:r>
            <w:r>
              <w:rPr>
                <w:rFonts w:hint="eastAsia" w:ascii="仿宋_GB2312" w:hAnsi="仿宋_GB2312" w:eastAsia="仿宋_GB2312" w:cs="仿宋_GB2312"/>
                <w:spacing w:val="2"/>
                <w:sz w:val="24"/>
                <w:szCs w:val="24"/>
                <w:lang w:eastAsia="zh-CN"/>
              </w:rPr>
              <w:t>的资质证</w:t>
            </w:r>
            <w:r>
              <w:rPr>
                <w:rFonts w:hint="eastAsia" w:ascii="仿宋_GB2312" w:hAnsi="仿宋_GB2312" w:eastAsia="仿宋_GB2312" w:cs="仿宋_GB2312"/>
                <w:spacing w:val="1"/>
                <w:sz w:val="24"/>
                <w:szCs w:val="24"/>
                <w:lang w:eastAsia="zh-CN"/>
              </w:rPr>
              <w:t>书</w:t>
            </w:r>
            <w:r>
              <w:rPr>
                <w:rFonts w:hint="eastAsia" w:ascii="仿宋_GB2312" w:hAnsi="仿宋_GB2312" w:eastAsia="仿宋_GB2312" w:cs="仿宋_GB2312"/>
                <w:spacing w:val="2"/>
                <w:sz w:val="24"/>
                <w:szCs w:val="24"/>
                <w:lang w:eastAsia="zh-CN"/>
              </w:rPr>
              <w:t>有效且等</w:t>
            </w:r>
            <w:r>
              <w:rPr>
                <w:rFonts w:hint="eastAsia" w:ascii="仿宋_GB2312" w:hAnsi="仿宋_GB2312" w:eastAsia="仿宋_GB2312" w:cs="仿宋_GB2312"/>
                <w:spacing w:val="1"/>
                <w:sz w:val="24"/>
                <w:szCs w:val="24"/>
                <w:lang w:eastAsia="zh-CN"/>
              </w:rPr>
              <w:t>级</w:t>
            </w:r>
            <w:r>
              <w:rPr>
                <w:rFonts w:hint="eastAsia" w:ascii="仿宋_GB2312" w:hAnsi="仿宋_GB2312" w:eastAsia="仿宋_GB2312" w:cs="仿宋_GB2312"/>
                <w:spacing w:val="2"/>
                <w:sz w:val="24"/>
                <w:szCs w:val="24"/>
                <w:lang w:eastAsia="zh-CN"/>
              </w:rPr>
              <w:t>符合第二</w:t>
            </w:r>
            <w:r>
              <w:rPr>
                <w:rFonts w:hint="eastAsia" w:ascii="仿宋_GB2312" w:hAnsi="仿宋_GB2312" w:eastAsia="仿宋_GB2312" w:cs="仿宋_GB2312"/>
                <w:sz w:val="24"/>
                <w:szCs w:val="24"/>
                <w:lang w:eastAsia="zh-CN"/>
              </w:rPr>
              <w:t>章“投标人须知前附表”附录1的规定；</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141" w:leftChars="64"/>
              <w:jc w:val="both"/>
              <w:textAlignment w:val="auto"/>
              <w:rPr>
                <w:rFonts w:hint="eastAsia" w:ascii="仿宋_GB2312" w:hAnsi="仿宋_GB2312" w:eastAsia="仿宋_GB2312" w:cs="仿宋_GB2312"/>
                <w:spacing w:val="2"/>
                <w:sz w:val="24"/>
                <w:szCs w:val="24"/>
                <w:lang w:eastAsia="zh-CN"/>
              </w:rPr>
            </w:pPr>
            <w:r>
              <w:rPr>
                <w:rFonts w:hint="eastAsia" w:ascii="仿宋_GB2312" w:hAnsi="仿宋_GB2312" w:eastAsia="仿宋_GB2312" w:cs="仿宋_GB2312"/>
                <w:spacing w:val="2"/>
                <w:sz w:val="24"/>
                <w:szCs w:val="24"/>
                <w:lang w:eastAsia="zh-CN"/>
              </w:rPr>
              <w:t>（3）投标人的业绩符合第二章“投标人须知前附表”附录2的规定；</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51" w:leftChars="64" w:hanging="610" w:hangingChars="250"/>
              <w:jc w:val="both"/>
              <w:textAlignment w:val="auto"/>
              <w:rPr>
                <w:rFonts w:hint="eastAsia" w:ascii="仿宋_GB2312" w:hAnsi="仿宋_GB2312" w:eastAsia="仿宋_GB2312" w:cs="仿宋_GB2312"/>
                <w:spacing w:val="2"/>
                <w:sz w:val="24"/>
                <w:szCs w:val="24"/>
                <w:lang w:eastAsia="zh-CN"/>
              </w:rPr>
            </w:pPr>
            <w:r>
              <w:rPr>
                <w:rFonts w:hint="eastAsia" w:ascii="仿宋_GB2312" w:hAnsi="仿宋_GB2312" w:eastAsia="仿宋_GB2312" w:cs="仿宋_GB2312"/>
                <w:spacing w:val="2"/>
                <w:sz w:val="24"/>
                <w:szCs w:val="24"/>
                <w:lang w:eastAsia="zh-CN"/>
              </w:rPr>
              <w:t>（</w:t>
            </w:r>
            <w:r>
              <w:rPr>
                <w:rFonts w:hint="eastAsia" w:ascii="仿宋_GB2312" w:hAnsi="仿宋_GB2312" w:eastAsia="仿宋_GB2312" w:cs="仿宋_GB2312"/>
                <w:spacing w:val="3"/>
                <w:sz w:val="24"/>
                <w:szCs w:val="24"/>
                <w:lang w:eastAsia="zh-CN"/>
              </w:rPr>
              <w:t>4</w:t>
            </w:r>
            <w:r>
              <w:rPr>
                <w:rFonts w:hint="eastAsia" w:ascii="仿宋_GB2312" w:hAnsi="仿宋_GB2312" w:eastAsia="仿宋_GB2312" w:cs="仿宋_GB2312"/>
                <w:spacing w:val="2"/>
                <w:sz w:val="24"/>
                <w:szCs w:val="24"/>
                <w:lang w:eastAsia="zh-CN"/>
              </w:rPr>
              <w:t>）投标人的主要人员资格符合第二章“投标人须知前附表”附录3的规定；</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141" w:leftChars="64"/>
              <w:jc w:val="both"/>
              <w:textAlignment w:val="auto"/>
              <w:rPr>
                <w:rFonts w:hint="eastAsia" w:ascii="仿宋_GB2312" w:hAnsi="仿宋_GB2312" w:eastAsia="仿宋_GB2312" w:cs="仿宋_GB2312"/>
                <w:spacing w:val="2"/>
                <w:sz w:val="24"/>
                <w:szCs w:val="24"/>
                <w:lang w:eastAsia="zh-CN"/>
              </w:rPr>
            </w:pPr>
            <w:r>
              <w:rPr>
                <w:rFonts w:hint="eastAsia" w:ascii="仿宋_GB2312" w:hAnsi="仿宋_GB2312" w:eastAsia="仿宋_GB2312" w:cs="仿宋_GB2312"/>
                <w:spacing w:val="2"/>
                <w:sz w:val="24"/>
                <w:szCs w:val="24"/>
                <w:lang w:eastAsia="zh-CN"/>
              </w:rPr>
              <w:t>（5）投标人的信誉符合第二章“投标人须知前附表”附录4的规定；</w:t>
            </w:r>
          </w:p>
          <w:p>
            <w:pPr>
              <w:widowControl w:val="0"/>
              <w:autoSpaceDE w:val="0"/>
              <w:autoSpaceDN w:val="0"/>
              <w:adjustRightInd w:val="0"/>
              <w:spacing w:after="0" w:line="360" w:lineRule="auto"/>
              <w:ind w:left="141" w:leftChars="64"/>
              <w:jc w:val="both"/>
              <w:rPr>
                <w:rFonts w:hint="eastAsia" w:ascii="仿宋_GB2312" w:hAnsi="仿宋_GB2312" w:eastAsia="仿宋_GB2312" w:cs="仿宋_GB2312"/>
                <w:spacing w:val="2"/>
                <w:sz w:val="24"/>
                <w:szCs w:val="24"/>
                <w:lang w:eastAsia="zh-CN"/>
              </w:rPr>
            </w:pPr>
            <w:r>
              <w:rPr>
                <w:rFonts w:hint="eastAsia" w:ascii="仿宋_GB2312" w:hAnsi="仿宋_GB2312" w:eastAsia="仿宋_GB2312" w:cs="仿宋_GB2312"/>
                <w:spacing w:val="2"/>
                <w:sz w:val="24"/>
                <w:szCs w:val="24"/>
                <w:lang w:eastAsia="zh-CN"/>
              </w:rPr>
              <w:t>（6）投标人不存在第二章“投标人须知”1总则第1.4.3项规定的情形；</w:t>
            </w:r>
          </w:p>
        </w:tc>
      </w:tr>
      <w:tr>
        <w:trPr>
          <w:trHeight w:val="7327" w:hRule="exact"/>
        </w:trPr>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pacing w:val="1"/>
                <w:sz w:val="24"/>
                <w:szCs w:val="24"/>
              </w:rPr>
              <w:t>.</w:t>
            </w:r>
            <w:r>
              <w:rPr>
                <w:rFonts w:hint="eastAsia" w:ascii="仿宋_GB2312" w:hAnsi="仿宋_GB2312" w:eastAsia="仿宋_GB2312" w:cs="仿宋_GB2312"/>
                <w:sz w:val="24"/>
                <w:szCs w:val="24"/>
              </w:rPr>
              <w:t>3</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 xml:space="preserve"> 第一信封</w:t>
            </w:r>
            <w:r>
              <w:rPr>
                <w:rFonts w:hint="eastAsia" w:ascii="仿宋_GB2312" w:hAnsi="仿宋_GB2312" w:eastAsia="仿宋_GB2312" w:cs="仿宋_GB2312"/>
                <w:sz w:val="24"/>
                <w:szCs w:val="24"/>
              </w:rPr>
              <w:t>初步审查</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before="120" w:beforeLines="50" w:after="0" w:line="240" w:lineRule="auto"/>
              <w:ind w:left="141" w:leftChars="64"/>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2"/>
                <w:sz w:val="24"/>
                <w:szCs w:val="24"/>
                <w:lang w:eastAsia="zh-CN"/>
              </w:rPr>
              <w:t>（</w:t>
            </w:r>
            <w:r>
              <w:rPr>
                <w:rFonts w:hint="eastAsia" w:ascii="仿宋_GB2312" w:hAnsi="仿宋_GB2312" w:eastAsia="仿宋_GB2312" w:cs="仿宋_GB2312"/>
                <w:spacing w:val="3"/>
                <w:sz w:val="24"/>
                <w:szCs w:val="24"/>
                <w:lang w:eastAsia="zh-CN"/>
              </w:rPr>
              <w:t>1</w:t>
            </w:r>
            <w:r>
              <w:rPr>
                <w:rFonts w:hint="eastAsia" w:ascii="仿宋_GB2312" w:hAnsi="仿宋_GB2312" w:eastAsia="仿宋_GB2312" w:cs="仿宋_GB2312"/>
                <w:spacing w:val="2"/>
                <w:sz w:val="24"/>
                <w:szCs w:val="24"/>
                <w:lang w:eastAsia="zh-CN"/>
              </w:rPr>
              <w:t>）</w:t>
            </w:r>
            <w:r>
              <w:rPr>
                <w:rFonts w:hint="eastAsia" w:ascii="仿宋_GB2312" w:hAnsi="仿宋_GB2312" w:eastAsia="仿宋_GB2312" w:cs="仿宋_GB2312"/>
                <w:spacing w:val="1"/>
                <w:sz w:val="24"/>
                <w:szCs w:val="24"/>
                <w:lang w:eastAsia="zh-CN"/>
              </w:rPr>
              <w:t>投</w:t>
            </w:r>
            <w:r>
              <w:rPr>
                <w:rFonts w:hint="eastAsia" w:ascii="仿宋_GB2312" w:hAnsi="仿宋_GB2312" w:eastAsia="仿宋_GB2312" w:cs="仿宋_GB2312"/>
                <w:spacing w:val="2"/>
                <w:sz w:val="24"/>
                <w:szCs w:val="24"/>
                <w:lang w:eastAsia="zh-CN"/>
              </w:rPr>
              <w:t>标</w:t>
            </w:r>
            <w:r>
              <w:rPr>
                <w:rFonts w:hint="eastAsia" w:ascii="仿宋_GB2312" w:hAnsi="仿宋_GB2312" w:eastAsia="仿宋_GB2312" w:cs="仿宋_GB2312"/>
                <w:spacing w:val="1"/>
                <w:sz w:val="24"/>
                <w:szCs w:val="24"/>
                <w:lang w:eastAsia="zh-CN"/>
              </w:rPr>
              <w:t>文</w:t>
            </w:r>
            <w:r>
              <w:rPr>
                <w:rFonts w:hint="eastAsia" w:ascii="仿宋_GB2312" w:hAnsi="仿宋_GB2312" w:eastAsia="仿宋_GB2312" w:cs="仿宋_GB2312"/>
                <w:spacing w:val="2"/>
                <w:sz w:val="24"/>
                <w:szCs w:val="24"/>
                <w:lang w:eastAsia="zh-CN"/>
              </w:rPr>
              <w:t>件按照招</w:t>
            </w:r>
            <w:r>
              <w:rPr>
                <w:rFonts w:hint="eastAsia" w:ascii="仿宋_GB2312" w:hAnsi="仿宋_GB2312" w:eastAsia="仿宋_GB2312" w:cs="仿宋_GB2312"/>
                <w:spacing w:val="1"/>
                <w:sz w:val="24"/>
                <w:szCs w:val="24"/>
                <w:lang w:eastAsia="zh-CN"/>
              </w:rPr>
              <w:t>标</w:t>
            </w:r>
            <w:r>
              <w:rPr>
                <w:rFonts w:hint="eastAsia" w:ascii="仿宋_GB2312" w:hAnsi="仿宋_GB2312" w:eastAsia="仿宋_GB2312" w:cs="仿宋_GB2312"/>
                <w:spacing w:val="2"/>
                <w:sz w:val="24"/>
                <w:szCs w:val="24"/>
                <w:lang w:eastAsia="zh-CN"/>
              </w:rPr>
              <w:t>文件规定</w:t>
            </w:r>
            <w:r>
              <w:rPr>
                <w:rFonts w:hint="eastAsia" w:ascii="仿宋_GB2312" w:hAnsi="仿宋_GB2312" w:eastAsia="仿宋_GB2312" w:cs="仿宋_GB2312"/>
                <w:spacing w:val="1"/>
                <w:sz w:val="24"/>
                <w:szCs w:val="24"/>
                <w:lang w:eastAsia="zh-CN"/>
              </w:rPr>
              <w:t>的</w:t>
            </w:r>
            <w:r>
              <w:rPr>
                <w:rFonts w:hint="eastAsia" w:ascii="仿宋_GB2312" w:hAnsi="仿宋_GB2312" w:eastAsia="仿宋_GB2312" w:cs="仿宋_GB2312"/>
                <w:spacing w:val="2"/>
                <w:sz w:val="24"/>
                <w:szCs w:val="24"/>
                <w:lang w:eastAsia="zh-CN"/>
              </w:rPr>
              <w:t>格式、内</w:t>
            </w:r>
            <w:r>
              <w:rPr>
                <w:rFonts w:hint="eastAsia" w:ascii="仿宋_GB2312" w:hAnsi="仿宋_GB2312" w:eastAsia="仿宋_GB2312" w:cs="仿宋_GB2312"/>
                <w:spacing w:val="1"/>
                <w:sz w:val="24"/>
                <w:szCs w:val="24"/>
                <w:lang w:eastAsia="zh-CN"/>
              </w:rPr>
              <w:t>容</w:t>
            </w:r>
            <w:r>
              <w:rPr>
                <w:rFonts w:hint="eastAsia" w:ascii="仿宋_GB2312" w:hAnsi="仿宋_GB2312" w:eastAsia="仿宋_GB2312" w:cs="仿宋_GB2312"/>
                <w:spacing w:val="2"/>
                <w:sz w:val="24"/>
                <w:szCs w:val="24"/>
                <w:lang w:eastAsia="zh-CN"/>
              </w:rPr>
              <w:t>填写，字</w:t>
            </w:r>
            <w:r>
              <w:rPr>
                <w:rFonts w:hint="eastAsia" w:ascii="仿宋_GB2312" w:hAnsi="仿宋_GB2312" w:eastAsia="仿宋_GB2312" w:cs="仿宋_GB2312"/>
                <w:spacing w:val="1"/>
                <w:sz w:val="24"/>
                <w:szCs w:val="24"/>
                <w:lang w:eastAsia="zh-CN"/>
              </w:rPr>
              <w:t>迹</w:t>
            </w:r>
            <w:r>
              <w:rPr>
                <w:rFonts w:hint="eastAsia" w:ascii="仿宋_GB2312" w:hAnsi="仿宋_GB2312" w:eastAsia="仿宋_GB2312" w:cs="仿宋_GB2312"/>
                <w:spacing w:val="2"/>
                <w:sz w:val="24"/>
                <w:szCs w:val="24"/>
                <w:lang w:eastAsia="zh-CN"/>
              </w:rPr>
              <w:t>清</w:t>
            </w:r>
            <w:r>
              <w:rPr>
                <w:rFonts w:hint="eastAsia" w:ascii="仿宋_GB2312" w:hAnsi="仿宋_GB2312" w:eastAsia="仿宋_GB2312" w:cs="仿宋_GB2312"/>
                <w:sz w:val="24"/>
                <w:szCs w:val="24"/>
                <w:lang w:eastAsia="zh-CN"/>
              </w:rPr>
              <w:t>晰可</w:t>
            </w:r>
            <w:r>
              <w:rPr>
                <w:rFonts w:hint="eastAsia" w:ascii="仿宋_GB2312" w:hAnsi="仿宋_GB2312" w:eastAsia="仿宋_GB2312" w:cs="仿宋_GB2312"/>
                <w:spacing w:val="3"/>
                <w:sz w:val="24"/>
                <w:szCs w:val="24"/>
                <w:lang w:eastAsia="zh-CN"/>
              </w:rPr>
              <w:t>辨；</w:t>
            </w:r>
          </w:p>
          <w:p>
            <w:pPr>
              <w:keepNext w:val="0"/>
              <w:keepLines w:val="0"/>
              <w:pageBreakBefore w:val="0"/>
              <w:widowControl w:val="0"/>
              <w:kinsoku/>
              <w:wordWrap/>
              <w:overflowPunct/>
              <w:topLinePunct w:val="0"/>
              <w:autoSpaceDE w:val="0"/>
              <w:autoSpaceDN w:val="0"/>
              <w:bidi w:val="0"/>
              <w:adjustRightInd w:val="0"/>
              <w:snapToGrid/>
              <w:spacing w:before="3" w:after="0" w:line="240" w:lineRule="auto"/>
              <w:ind w:left="743" w:leftChars="64" w:hanging="602" w:hangingChars="245"/>
              <w:jc w:val="both"/>
              <w:textAlignment w:val="auto"/>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（2）投标文件上法定代表人或其授权代理人的签字、投标人的单位章齐全 ，符合招标文件规定；</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41" w:leftChars="64" w:hanging="600" w:hangingChars="244"/>
              <w:jc w:val="both"/>
              <w:textAlignment w:val="auto"/>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（3）投标人按照第二章“投标人须知”第3.4.1项和第3.4.2项规定的金额、形式、时间和账户等要求提供了投标保证金；</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43" w:leftChars="64" w:hanging="602" w:hangingChars="245"/>
              <w:jc w:val="both"/>
              <w:textAlignment w:val="auto"/>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4）投标人按照第二章“投标人须知”第3.7.4项的规定，提供了法定代表人的授权委托书或法定代表人身份证明，并附有公证机关出具的加盖钢印、单位章并盖有公证员签名章的公证书，钢印应清晰可辨，同时公证内容完全满足招标文件规定；</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141" w:leftChars="64"/>
              <w:jc w:val="both"/>
              <w:textAlignment w:val="auto"/>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（5）投标文件载明的招标项目完成期限未超过招标文件规定的时限；</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141" w:leftChars="64"/>
              <w:jc w:val="both"/>
              <w:textAlignment w:val="auto"/>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（6）投标文件中未出现有关投标报价的内容；</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43" w:leftChars="64" w:hanging="602" w:hangingChars="245"/>
              <w:jc w:val="both"/>
              <w:textAlignment w:val="auto"/>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（7）投标文件没有对招标人的权利提出削弱性或限制性要求，没有对投标人的责任和义务提出实质性修改；</w:t>
            </w:r>
          </w:p>
          <w:p>
            <w:pPr>
              <w:widowControl w:val="0"/>
              <w:autoSpaceDE w:val="0"/>
              <w:autoSpaceDN w:val="0"/>
              <w:adjustRightInd w:val="0"/>
              <w:spacing w:after="0" w:line="360" w:lineRule="auto"/>
              <w:ind w:left="141" w:leftChars="64"/>
              <w:jc w:val="both"/>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（8）投标人未提供虚假资料；</w:t>
            </w:r>
          </w:p>
          <w:p>
            <w:pPr>
              <w:widowControl w:val="0"/>
              <w:autoSpaceDE w:val="0"/>
              <w:autoSpaceDN w:val="0"/>
              <w:adjustRightInd w:val="0"/>
              <w:spacing w:after="0" w:line="360" w:lineRule="auto"/>
              <w:ind w:left="741" w:leftChars="64" w:hanging="600" w:hangingChars="244"/>
              <w:jc w:val="both"/>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 xml:space="preserve">（9）未对同一投标项目提交两份或多份内容不同的投标书，而未说明哪一份是有效的； </w:t>
            </w:r>
          </w:p>
          <w:p>
            <w:pPr>
              <w:widowControl w:val="0"/>
              <w:autoSpaceDE w:val="0"/>
              <w:autoSpaceDN w:val="0"/>
              <w:adjustRightInd w:val="0"/>
              <w:spacing w:after="0" w:line="360" w:lineRule="auto"/>
              <w:ind w:left="864" w:leftChars="64" w:hanging="723" w:hangingChars="294"/>
              <w:jc w:val="both"/>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pacing w:val="3"/>
                <w:sz w:val="24"/>
                <w:szCs w:val="24"/>
                <w:lang w:eastAsia="zh-CN"/>
              </w:rPr>
              <w:t>（10）投标文件未附有招标人不能接受的条件。</w:t>
            </w:r>
          </w:p>
        </w:tc>
      </w:tr>
    </w:tbl>
    <w:p>
      <w:pPr>
        <w:widowControl w:val="0"/>
        <w:autoSpaceDE w:val="0"/>
        <w:autoSpaceDN w:val="0"/>
        <w:adjustRightInd w:val="0"/>
        <w:spacing w:before="36" w:after="0" w:line="360" w:lineRule="auto"/>
        <w:ind w:right="-1"/>
        <w:rPr>
          <w:rFonts w:hint="eastAsia" w:ascii="仿宋_GB2312" w:hAnsi="仿宋_GB2312" w:eastAsia="仿宋_GB2312" w:cs="仿宋_GB2312"/>
          <w:sz w:val="18"/>
          <w:szCs w:val="18"/>
          <w:lang w:eastAsia="zh-CN"/>
        </w:rPr>
        <w:sectPr>
          <w:pgSz w:w="11907" w:h="16839"/>
          <w:pgMar w:top="1191" w:right="1147" w:bottom="1191" w:left="1276" w:header="567" w:footer="720" w:gutter="0"/>
          <w:cols w:space="720" w:num="1"/>
        </w:sectPr>
      </w:pPr>
    </w:p>
    <w:p>
      <w:pPr>
        <w:widowControl w:val="0"/>
        <w:autoSpaceDE w:val="0"/>
        <w:autoSpaceDN w:val="0"/>
        <w:adjustRightInd w:val="0"/>
        <w:spacing w:before="2" w:after="0" w:line="360" w:lineRule="auto"/>
        <w:ind w:left="141" w:leftChars="64" w:right="-1"/>
        <w:rPr>
          <w:rFonts w:hint="eastAsia" w:ascii="仿宋_GB2312" w:hAnsi="仿宋_GB2312" w:eastAsia="仿宋_GB2312" w:cs="仿宋_GB2312"/>
          <w:sz w:val="3"/>
          <w:szCs w:val="3"/>
          <w:lang w:eastAsia="zh-CN"/>
        </w:rPr>
      </w:pPr>
    </w:p>
    <w:tbl>
      <w:tblPr>
        <w:tblStyle w:val="4"/>
        <w:tblW w:w="0" w:type="auto"/>
        <w:tblInd w:w="110" w:type="dxa"/>
        <w:tblLayout w:type="fixed"/>
        <w:tblCellMar>
          <w:top w:w="0" w:type="dxa"/>
          <w:left w:w="0" w:type="dxa"/>
          <w:bottom w:w="0" w:type="dxa"/>
          <w:right w:w="0" w:type="dxa"/>
        </w:tblCellMar>
      </w:tblPr>
      <w:tblGrid>
        <w:gridCol w:w="1440"/>
        <w:gridCol w:w="1620"/>
        <w:gridCol w:w="6841"/>
      </w:tblGrid>
      <w:tr>
        <w:tblPrEx>
          <w:tblCellMar>
            <w:top w:w="0" w:type="dxa"/>
            <w:left w:w="0" w:type="dxa"/>
            <w:bottom w:w="0" w:type="dxa"/>
            <w:right w:w="0" w:type="dxa"/>
          </w:tblCellMar>
        </w:tblPrEx>
        <w:trPr>
          <w:trHeight w:val="690" w:hRule="exact"/>
        </w:trPr>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条款号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条款名称</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评审因素和评审标准</w:t>
            </w:r>
          </w:p>
        </w:tc>
      </w:tr>
      <w:tr>
        <w:tblPrEx>
          <w:tblCellMar>
            <w:top w:w="0" w:type="dxa"/>
            <w:left w:w="0" w:type="dxa"/>
            <w:bottom w:w="0" w:type="dxa"/>
            <w:right w:w="0" w:type="dxa"/>
          </w:tblCellMar>
        </w:tblPrEx>
        <w:trPr>
          <w:trHeight w:val="4941" w:hRule="exact"/>
        </w:trPr>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w w:val="120"/>
                <w:sz w:val="21"/>
                <w:szCs w:val="21"/>
              </w:rPr>
              <w:t>2.</w:t>
            </w:r>
            <w:r>
              <w:rPr>
                <w:rFonts w:hint="eastAsia" w:ascii="仿宋_GB2312" w:hAnsi="仿宋_GB2312" w:eastAsia="仿宋_GB2312" w:cs="仿宋_GB2312"/>
                <w:w w:val="120"/>
                <w:sz w:val="21"/>
                <w:szCs w:val="21"/>
                <w:lang w:eastAsia="zh-CN"/>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3"/>
                <w:sz w:val="21"/>
                <w:szCs w:val="21"/>
                <w:lang w:eastAsia="zh-CN"/>
              </w:rPr>
              <w:t>详细评审</w:t>
            </w:r>
          </w:p>
        </w:tc>
        <w:tc>
          <w:tcPr>
            <w:tcW w:w="6841"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5980"/>
              </w:tabs>
              <w:autoSpaceDE w:val="0"/>
              <w:autoSpaceDN w:val="0"/>
              <w:adjustRightInd w:val="0"/>
              <w:spacing w:after="0" w:line="360" w:lineRule="auto"/>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评审因素</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lang w:eastAsia="zh-CN"/>
              </w:rPr>
              <w:t>评分值</w:t>
            </w:r>
          </w:p>
          <w:p>
            <w:pPr>
              <w:widowControl w:val="0"/>
              <w:tabs>
                <w:tab w:val="left" w:pos="5980"/>
              </w:tabs>
              <w:autoSpaceDE w:val="0"/>
              <w:autoSpaceDN w:val="0"/>
              <w:adjustRightInd w:val="0"/>
              <w:spacing w:after="0" w:line="360" w:lineRule="auto"/>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（1）投标文件第一信封（商务文件）：</w:t>
            </w:r>
          </w:p>
          <w:p>
            <w:pPr>
              <w:widowControl w:val="0"/>
              <w:tabs>
                <w:tab w:val="left" w:pos="5969"/>
                <w:tab w:val="left" w:pos="6500"/>
              </w:tabs>
              <w:autoSpaceDE w:val="0"/>
              <w:autoSpaceDN w:val="0"/>
              <w:adjustRightInd w:val="0"/>
              <w:spacing w:after="0" w:line="360" w:lineRule="auto"/>
              <w:ind w:left="141" w:leftChars="64" w:firstLine="103" w:firstLineChars="48"/>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a．投标人与本项目相关的具体业绩</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u w:val="single"/>
                <w:lang w:eastAsia="zh-CN"/>
              </w:rPr>
              <w:t>0-12</w:t>
            </w:r>
            <w:r>
              <w:rPr>
                <w:rFonts w:hint="eastAsia" w:ascii="仿宋_GB2312" w:hAnsi="仿宋_GB2312" w:eastAsia="仿宋_GB2312" w:cs="仿宋_GB2312"/>
                <w:spacing w:val="3"/>
                <w:sz w:val="21"/>
                <w:szCs w:val="21"/>
                <w:lang w:eastAsia="zh-CN"/>
              </w:rPr>
              <w:t>分</w:t>
            </w:r>
          </w:p>
          <w:p>
            <w:pPr>
              <w:widowControl w:val="0"/>
              <w:tabs>
                <w:tab w:val="left" w:pos="5969"/>
                <w:tab w:val="left" w:pos="6500"/>
              </w:tabs>
              <w:autoSpaceDE w:val="0"/>
              <w:autoSpaceDN w:val="0"/>
              <w:adjustRightInd w:val="0"/>
              <w:spacing w:after="0" w:line="360" w:lineRule="auto"/>
              <w:ind w:left="141" w:leftChars="64" w:firstLine="105" w:firstLineChars="49"/>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b．拟投入本项目的人员资格和能力</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u w:val="single"/>
                <w:lang w:eastAsia="zh-CN"/>
              </w:rPr>
              <w:t>0-15</w:t>
            </w:r>
            <w:r>
              <w:rPr>
                <w:rFonts w:hint="eastAsia" w:ascii="仿宋_GB2312" w:hAnsi="仿宋_GB2312" w:eastAsia="仿宋_GB2312" w:cs="仿宋_GB2312"/>
                <w:spacing w:val="3"/>
                <w:sz w:val="21"/>
                <w:szCs w:val="21"/>
                <w:lang w:eastAsia="zh-CN"/>
              </w:rPr>
              <w:t>分</w:t>
            </w:r>
          </w:p>
          <w:p>
            <w:pPr>
              <w:widowControl w:val="0"/>
              <w:tabs>
                <w:tab w:val="left" w:pos="5969"/>
                <w:tab w:val="left" w:pos="6500"/>
              </w:tabs>
              <w:autoSpaceDE w:val="0"/>
              <w:autoSpaceDN w:val="0"/>
              <w:adjustRightInd w:val="0"/>
              <w:spacing w:after="0" w:line="360" w:lineRule="auto"/>
              <w:ind w:left="141" w:leftChars="64" w:firstLine="105" w:firstLineChars="49"/>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c．投标人的信誉。</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u w:val="single"/>
                <w:lang w:eastAsia="zh-CN"/>
              </w:rPr>
              <w:t>0-13</w:t>
            </w:r>
            <w:r>
              <w:rPr>
                <w:rFonts w:hint="eastAsia" w:ascii="仿宋_GB2312" w:hAnsi="仿宋_GB2312" w:eastAsia="仿宋_GB2312" w:cs="仿宋_GB2312"/>
                <w:spacing w:val="3"/>
                <w:sz w:val="21"/>
                <w:szCs w:val="21"/>
                <w:lang w:eastAsia="zh-CN"/>
              </w:rPr>
              <w:t>分</w:t>
            </w:r>
          </w:p>
          <w:p>
            <w:pPr>
              <w:widowControl w:val="0"/>
              <w:autoSpaceDE w:val="0"/>
              <w:autoSpaceDN w:val="0"/>
              <w:adjustRightInd w:val="0"/>
              <w:spacing w:after="0" w:line="360" w:lineRule="auto"/>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（2）投标文件第一信封（技术文件）：</w:t>
            </w:r>
          </w:p>
          <w:p>
            <w:pPr>
              <w:widowControl w:val="0"/>
              <w:tabs>
                <w:tab w:val="left" w:pos="6076"/>
                <w:tab w:val="left" w:pos="6500"/>
              </w:tabs>
              <w:autoSpaceDE w:val="0"/>
              <w:autoSpaceDN w:val="0"/>
              <w:adjustRightInd w:val="0"/>
              <w:spacing w:after="0" w:line="360" w:lineRule="auto"/>
              <w:ind w:left="141" w:leftChars="64" w:firstLine="105" w:firstLineChars="49"/>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d．对招标项目的理解和总体编制思路</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u w:val="single"/>
                <w:lang w:eastAsia="zh-CN"/>
              </w:rPr>
              <w:t>0-7</w:t>
            </w:r>
            <w:r>
              <w:rPr>
                <w:rFonts w:hint="eastAsia" w:ascii="仿宋_GB2312" w:hAnsi="仿宋_GB2312" w:eastAsia="仿宋_GB2312" w:cs="仿宋_GB2312"/>
                <w:spacing w:val="3"/>
                <w:sz w:val="21"/>
                <w:szCs w:val="21"/>
                <w:lang w:eastAsia="zh-CN"/>
              </w:rPr>
              <w:t>分</w:t>
            </w:r>
          </w:p>
          <w:p>
            <w:pPr>
              <w:widowControl w:val="0"/>
              <w:autoSpaceDE w:val="0"/>
              <w:autoSpaceDN w:val="0"/>
              <w:adjustRightInd w:val="0"/>
              <w:spacing w:after="0" w:line="360" w:lineRule="auto"/>
              <w:ind w:left="561" w:leftChars="111" w:hanging="317" w:hangingChars="147"/>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e．招标项目可行性研究报告编制的特点、关键技术问题的的认识及其对策措施</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lang w:eastAsia="zh-CN"/>
              </w:rPr>
              <w:t xml:space="preserve">                                           </w:t>
            </w:r>
            <w:r>
              <w:rPr>
                <w:rFonts w:hint="eastAsia" w:ascii="仿宋_GB2312" w:hAnsi="仿宋_GB2312" w:eastAsia="仿宋_GB2312" w:cs="仿宋_GB2312"/>
                <w:spacing w:val="3"/>
                <w:sz w:val="21"/>
                <w:szCs w:val="21"/>
                <w:u w:val="single"/>
                <w:lang w:eastAsia="zh-CN"/>
              </w:rPr>
              <w:t>0-7</w:t>
            </w:r>
            <w:r>
              <w:rPr>
                <w:rFonts w:hint="eastAsia" w:ascii="仿宋_GB2312" w:hAnsi="仿宋_GB2312" w:eastAsia="仿宋_GB2312" w:cs="仿宋_GB2312"/>
                <w:spacing w:val="3"/>
                <w:sz w:val="21"/>
                <w:szCs w:val="21"/>
                <w:lang w:eastAsia="zh-CN"/>
              </w:rPr>
              <w:t>分</w:t>
            </w:r>
          </w:p>
          <w:p>
            <w:pPr>
              <w:widowControl w:val="0"/>
              <w:tabs>
                <w:tab w:val="left" w:pos="6076"/>
                <w:tab w:val="left" w:pos="6500"/>
              </w:tabs>
              <w:autoSpaceDE w:val="0"/>
              <w:autoSpaceDN w:val="0"/>
              <w:adjustRightInd w:val="0"/>
              <w:spacing w:after="0" w:line="360" w:lineRule="auto"/>
              <w:ind w:left="141" w:leftChars="64" w:firstLine="105" w:firstLineChars="49"/>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f．可行性研究报告编制的工作量及计划安排</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u w:val="single"/>
                <w:lang w:eastAsia="zh-CN"/>
              </w:rPr>
              <w:t>0-5</w:t>
            </w:r>
            <w:r>
              <w:rPr>
                <w:rFonts w:hint="eastAsia" w:ascii="仿宋_GB2312" w:hAnsi="仿宋_GB2312" w:eastAsia="仿宋_GB2312" w:cs="仿宋_GB2312"/>
                <w:spacing w:val="3"/>
                <w:sz w:val="21"/>
                <w:szCs w:val="21"/>
                <w:lang w:eastAsia="zh-CN"/>
              </w:rPr>
              <w:t>分</w:t>
            </w:r>
          </w:p>
          <w:p>
            <w:pPr>
              <w:widowControl w:val="0"/>
              <w:tabs>
                <w:tab w:val="left" w:pos="6076"/>
                <w:tab w:val="left" w:pos="6284"/>
              </w:tabs>
              <w:autoSpaceDE w:val="0"/>
              <w:autoSpaceDN w:val="0"/>
              <w:adjustRightInd w:val="0"/>
              <w:spacing w:after="0" w:line="360" w:lineRule="auto"/>
              <w:ind w:left="244" w:leftChars="111"/>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 xml:space="preserve">g．可行性研究报告编制的质量保证措施、进度保证措施     </w:t>
            </w:r>
            <w:r>
              <w:rPr>
                <w:rFonts w:hint="eastAsia" w:ascii="仿宋_GB2312" w:hAnsi="仿宋_GB2312" w:eastAsia="仿宋_GB2312" w:cs="仿宋_GB2312"/>
                <w:spacing w:val="3"/>
                <w:sz w:val="21"/>
                <w:szCs w:val="21"/>
                <w:u w:val="single"/>
                <w:lang w:eastAsia="zh-CN"/>
              </w:rPr>
              <w:t>0-6</w:t>
            </w:r>
            <w:r>
              <w:rPr>
                <w:rFonts w:hint="eastAsia" w:ascii="仿宋_GB2312" w:hAnsi="仿宋_GB2312" w:eastAsia="仿宋_GB2312" w:cs="仿宋_GB2312"/>
                <w:spacing w:val="3"/>
                <w:sz w:val="21"/>
                <w:szCs w:val="21"/>
                <w:lang w:eastAsia="zh-CN"/>
              </w:rPr>
              <w:t>分</w:t>
            </w:r>
          </w:p>
          <w:p>
            <w:pPr>
              <w:widowControl w:val="0"/>
              <w:tabs>
                <w:tab w:val="left" w:pos="6076"/>
                <w:tab w:val="left" w:pos="6284"/>
              </w:tabs>
              <w:autoSpaceDE w:val="0"/>
              <w:autoSpaceDN w:val="0"/>
              <w:adjustRightInd w:val="0"/>
              <w:spacing w:after="0" w:line="360" w:lineRule="auto"/>
              <w:ind w:left="244" w:leftChars="111"/>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h．后续服务的安排及保证措施</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u w:val="single"/>
                <w:lang w:eastAsia="zh-CN"/>
              </w:rPr>
              <w:t>0-5</w:t>
            </w:r>
            <w:r>
              <w:rPr>
                <w:rFonts w:hint="eastAsia" w:ascii="仿宋_GB2312" w:hAnsi="仿宋_GB2312" w:eastAsia="仿宋_GB2312" w:cs="仿宋_GB2312"/>
                <w:spacing w:val="3"/>
                <w:sz w:val="21"/>
                <w:szCs w:val="21"/>
                <w:lang w:eastAsia="zh-CN"/>
              </w:rPr>
              <w:t>分</w:t>
            </w:r>
          </w:p>
        </w:tc>
      </w:tr>
      <w:tr>
        <w:tblPrEx>
          <w:tblCellMar>
            <w:top w:w="0" w:type="dxa"/>
            <w:left w:w="0" w:type="dxa"/>
            <w:bottom w:w="0" w:type="dxa"/>
            <w:right w:w="0" w:type="dxa"/>
          </w:tblCellMar>
        </w:tblPrEx>
        <w:trPr>
          <w:trHeight w:val="3249" w:hRule="exact"/>
        </w:trPr>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w w:val="120"/>
                <w:sz w:val="21"/>
                <w:szCs w:val="21"/>
                <w:lang w:eastAsia="zh-CN"/>
              </w:rPr>
              <w:t>2.7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第二信封        初步评审</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670" w:leftChars="64" w:hanging="529" w:hangingChars="245"/>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（1）第二信封（报价清单）按照招标文件规定的格式、内容填写，字迹清晰可辨，内容齐全完整；</w:t>
            </w:r>
          </w:p>
          <w:p>
            <w:pPr>
              <w:widowControl w:val="0"/>
              <w:autoSpaceDE w:val="0"/>
              <w:autoSpaceDN w:val="0"/>
              <w:adjustRightInd w:val="0"/>
              <w:spacing w:before="7" w:after="0" w:line="360" w:lineRule="auto"/>
              <w:ind w:left="670" w:leftChars="64" w:hanging="529" w:hangingChars="245"/>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（2）第二信封（报价清单）中法定代表人或其授权代理人签、投标人的单位章齐全，符合招标文件规定；</w:t>
            </w:r>
          </w:p>
          <w:p>
            <w:pPr>
              <w:widowControl w:val="0"/>
              <w:autoSpaceDE w:val="0"/>
              <w:autoSpaceDN w:val="0"/>
              <w:adjustRightInd w:val="0"/>
              <w:spacing w:before="1" w:after="0" w:line="360" w:lineRule="auto"/>
              <w:ind w:left="670" w:leftChars="64" w:hanging="529" w:hangingChars="245"/>
              <w:jc w:val="both"/>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（3）在报价函上填写了投标总价（包括大写金额和小写金额，保留小数点两位），投标总价不高于招标人公布的最高投标限价（如有），且报价唯一；</w:t>
            </w:r>
          </w:p>
        </w:tc>
      </w:tr>
      <w:tr>
        <w:tblPrEx>
          <w:tblCellMar>
            <w:top w:w="0" w:type="dxa"/>
            <w:left w:w="0" w:type="dxa"/>
            <w:bottom w:w="0" w:type="dxa"/>
            <w:right w:w="0" w:type="dxa"/>
          </w:tblCellMar>
        </w:tblPrEx>
        <w:trPr>
          <w:trHeight w:val="1273" w:hRule="exact"/>
        </w:trPr>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w w:val="120"/>
                <w:sz w:val="21"/>
                <w:szCs w:val="21"/>
              </w:rPr>
              <w:t>2.</w:t>
            </w:r>
            <w:r>
              <w:rPr>
                <w:rFonts w:hint="eastAsia" w:ascii="仿宋_GB2312" w:hAnsi="仿宋_GB2312" w:eastAsia="仿宋_GB2312" w:cs="仿宋_GB2312"/>
                <w:w w:val="120"/>
                <w:sz w:val="21"/>
                <w:szCs w:val="21"/>
                <w:lang w:eastAsia="zh-CN"/>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第二信封</w:t>
            </w:r>
          </w:p>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澄清</w:t>
            </w:r>
          </w:p>
        </w:tc>
        <w:tc>
          <w:tcPr>
            <w:tcW w:w="6841" w:type="dxa"/>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beforeLines="50" w:after="0" w:line="360" w:lineRule="auto"/>
              <w:ind w:left="141" w:leftChars="64" w:firstLine="105" w:firstLineChars="49"/>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澄清过程中，发生以下任一情形的，作否决其投标处理：</w:t>
            </w:r>
          </w:p>
          <w:p>
            <w:pPr>
              <w:widowControl w:val="0"/>
              <w:autoSpaceDE w:val="0"/>
              <w:autoSpaceDN w:val="0"/>
              <w:adjustRightInd w:val="0"/>
              <w:spacing w:after="0" w:line="360" w:lineRule="auto"/>
              <w:ind w:left="141" w:leftChars="64"/>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（1）投标人拒绝确认算术性修正后的报价；</w:t>
            </w:r>
          </w:p>
          <w:p>
            <w:pPr>
              <w:widowControl w:val="0"/>
              <w:autoSpaceDE w:val="0"/>
              <w:autoSpaceDN w:val="0"/>
              <w:adjustRightInd w:val="0"/>
              <w:spacing w:after="0" w:line="360" w:lineRule="auto"/>
              <w:ind w:left="141" w:leftChars="64"/>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（2）修正后的最终投标报价超过最高投标限价（如有）。</w:t>
            </w:r>
          </w:p>
        </w:tc>
      </w:tr>
      <w:tr>
        <w:tblPrEx>
          <w:tblCellMar>
            <w:top w:w="0" w:type="dxa"/>
            <w:left w:w="0" w:type="dxa"/>
            <w:bottom w:w="0" w:type="dxa"/>
            <w:right w:w="0" w:type="dxa"/>
          </w:tblCellMar>
        </w:tblPrEx>
        <w:trPr>
          <w:trHeight w:val="1273" w:hRule="exact"/>
        </w:trPr>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rPr>
            </w:pPr>
            <w:r>
              <w:rPr>
                <w:rFonts w:hint="eastAsia" w:ascii="仿宋_GB2312" w:hAnsi="仿宋_GB2312" w:eastAsia="仿宋_GB2312" w:cs="仿宋_GB2312"/>
                <w:w w:val="114"/>
                <w:sz w:val="21"/>
                <w:szCs w:val="21"/>
              </w:rPr>
              <w:t>2.10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after="0" w:line="360" w:lineRule="auto"/>
              <w:ind w:right="-1"/>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第二信封          详细评审</w:t>
            </w:r>
          </w:p>
        </w:tc>
        <w:tc>
          <w:tcPr>
            <w:tcW w:w="6841"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5980"/>
              </w:tabs>
              <w:autoSpaceDE w:val="0"/>
              <w:autoSpaceDN w:val="0"/>
              <w:adjustRightInd w:val="0"/>
              <w:spacing w:before="120" w:beforeLines="50" w:after="0" w:line="360" w:lineRule="auto"/>
              <w:ind w:left="141" w:leftChars="64" w:firstLine="105" w:firstLineChars="49"/>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评审因素</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lang w:eastAsia="zh-CN"/>
              </w:rPr>
              <w:t>评分值</w:t>
            </w:r>
          </w:p>
          <w:p>
            <w:pPr>
              <w:widowControl w:val="0"/>
              <w:tabs>
                <w:tab w:val="left" w:pos="5940"/>
                <w:tab w:val="left" w:pos="6460"/>
              </w:tabs>
              <w:autoSpaceDE w:val="0"/>
              <w:autoSpaceDN w:val="0"/>
              <w:adjustRightInd w:val="0"/>
              <w:spacing w:after="0" w:line="360" w:lineRule="auto"/>
              <w:ind w:left="141" w:leftChars="64"/>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（3）投标文件第二信封（报价清单）：</w:t>
            </w:r>
            <w:r>
              <w:rPr>
                <w:rFonts w:hint="eastAsia" w:ascii="仿宋_GB2312" w:hAnsi="仿宋_GB2312" w:eastAsia="仿宋_GB2312" w:cs="仿宋_GB2312"/>
                <w:spacing w:val="3"/>
                <w:sz w:val="21"/>
                <w:szCs w:val="21"/>
                <w:lang w:eastAsia="zh-CN"/>
              </w:rPr>
              <w:tab/>
            </w:r>
          </w:p>
          <w:p>
            <w:pPr>
              <w:widowControl w:val="0"/>
              <w:tabs>
                <w:tab w:val="left" w:pos="5940"/>
                <w:tab w:val="left" w:pos="6480"/>
              </w:tabs>
              <w:autoSpaceDE w:val="0"/>
              <w:autoSpaceDN w:val="0"/>
              <w:adjustRightInd w:val="0"/>
              <w:spacing w:after="0" w:line="360" w:lineRule="auto"/>
              <w:ind w:left="141" w:leftChars="64"/>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color w:val="000000"/>
                <w:spacing w:val="1"/>
                <w:w w:val="128"/>
                <w:position w:val="-1"/>
                <w:szCs w:val="21"/>
              </w:rPr>
              <w:t>i.</w:t>
            </w:r>
            <w:r>
              <w:rPr>
                <w:rFonts w:hint="eastAsia" w:ascii="仿宋_GB2312" w:hAnsi="仿宋_GB2312" w:eastAsia="仿宋_GB2312" w:cs="仿宋_GB2312"/>
                <w:spacing w:val="3"/>
                <w:sz w:val="21"/>
                <w:szCs w:val="21"/>
                <w:lang w:eastAsia="zh-CN"/>
              </w:rPr>
              <w:t>投标价</w:t>
            </w:r>
            <w:r>
              <w:rPr>
                <w:rFonts w:hint="eastAsia" w:ascii="仿宋_GB2312" w:hAnsi="仿宋_GB2312" w:eastAsia="仿宋_GB2312" w:cs="仿宋_GB2312"/>
                <w:spacing w:val="3"/>
                <w:sz w:val="21"/>
                <w:szCs w:val="21"/>
                <w:lang w:eastAsia="zh-CN"/>
              </w:rPr>
              <w:tab/>
            </w:r>
            <w:r>
              <w:rPr>
                <w:rFonts w:hint="eastAsia" w:ascii="仿宋_GB2312" w:hAnsi="仿宋_GB2312" w:eastAsia="仿宋_GB2312" w:cs="仿宋_GB2312"/>
                <w:spacing w:val="3"/>
                <w:sz w:val="21"/>
                <w:szCs w:val="21"/>
                <w:u w:val="single"/>
                <w:lang w:eastAsia="zh-CN"/>
              </w:rPr>
              <w:t>0-30</w:t>
            </w:r>
            <w:r>
              <w:rPr>
                <w:rFonts w:hint="eastAsia" w:ascii="仿宋_GB2312" w:hAnsi="仿宋_GB2312" w:eastAsia="仿宋_GB2312" w:cs="仿宋_GB2312"/>
                <w:spacing w:val="3"/>
                <w:sz w:val="21"/>
                <w:szCs w:val="21"/>
                <w:lang w:eastAsia="zh-CN"/>
              </w:rPr>
              <w:t>分</w:t>
            </w:r>
          </w:p>
        </w:tc>
      </w:tr>
      <w:tr>
        <w:tblPrEx>
          <w:tblCellMar>
            <w:top w:w="0" w:type="dxa"/>
            <w:left w:w="0" w:type="dxa"/>
            <w:bottom w:w="0" w:type="dxa"/>
            <w:right w:w="0" w:type="dxa"/>
          </w:tblCellMar>
        </w:tblPrEx>
        <w:trPr>
          <w:trHeight w:val="690" w:hRule="exact"/>
        </w:trPr>
        <w:tc>
          <w:tcPr>
            <w:tcW w:w="1440" w:type="dxa"/>
            <w:tcBorders>
              <w:top w:val="single" w:color="000000" w:sz="4" w:space="0"/>
              <w:left w:val="single" w:color="000000" w:sz="4" w:space="0"/>
              <w:bottom w:val="single" w:color="auto" w:sz="4" w:space="0"/>
              <w:right w:val="single" w:color="000000" w:sz="4" w:space="0"/>
            </w:tcBorders>
            <w:noWrap w:val="0"/>
            <w:vAlign w:val="center"/>
          </w:tcPr>
          <w:p>
            <w:pPr>
              <w:widowControl w:val="0"/>
              <w:autoSpaceDE w:val="0"/>
              <w:autoSpaceDN w:val="0"/>
              <w:adjustRightInd w:val="0"/>
              <w:spacing w:after="0" w:line="360" w:lineRule="auto"/>
              <w:ind w:left="141" w:leftChars="64"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w w:val="114"/>
                <w:sz w:val="21"/>
                <w:szCs w:val="21"/>
              </w:rPr>
              <w:t>2.</w:t>
            </w:r>
            <w:r>
              <w:rPr>
                <w:rFonts w:hint="eastAsia" w:ascii="仿宋_GB2312" w:hAnsi="仿宋_GB2312" w:eastAsia="仿宋_GB2312" w:cs="仿宋_GB2312"/>
                <w:w w:val="114"/>
                <w:sz w:val="21"/>
                <w:szCs w:val="21"/>
                <w:lang w:eastAsia="zh-CN"/>
              </w:rPr>
              <w:t>12</w:t>
            </w:r>
          </w:p>
        </w:tc>
        <w:tc>
          <w:tcPr>
            <w:tcW w:w="1620" w:type="dxa"/>
            <w:tcBorders>
              <w:top w:val="single" w:color="000000" w:sz="4" w:space="0"/>
              <w:left w:val="single" w:color="000000" w:sz="4" w:space="0"/>
              <w:bottom w:val="single" w:color="auto" w:sz="4" w:space="0"/>
              <w:right w:val="single" w:color="000000" w:sz="4" w:space="0"/>
            </w:tcBorders>
            <w:noWrap w:val="0"/>
            <w:vAlign w:val="center"/>
          </w:tcPr>
          <w:p>
            <w:pPr>
              <w:widowControl w:val="0"/>
              <w:autoSpaceDE w:val="0"/>
              <w:autoSpaceDN w:val="0"/>
              <w:adjustRightInd w:val="0"/>
              <w:spacing w:after="0" w:line="300" w:lineRule="exact"/>
              <w:ind w:right="-1"/>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评标结果</w:t>
            </w:r>
          </w:p>
        </w:tc>
        <w:tc>
          <w:tcPr>
            <w:tcW w:w="6841" w:type="dxa"/>
            <w:tcBorders>
              <w:top w:val="single" w:color="000000" w:sz="4" w:space="0"/>
              <w:left w:val="single" w:color="000000" w:sz="4" w:space="0"/>
              <w:bottom w:val="single" w:color="auto" w:sz="4" w:space="0"/>
              <w:right w:val="single" w:color="000000" w:sz="4" w:space="0"/>
            </w:tcBorders>
            <w:noWrap w:val="0"/>
            <w:vAlign w:val="center"/>
          </w:tcPr>
          <w:p>
            <w:pPr>
              <w:widowControl w:val="0"/>
              <w:tabs>
                <w:tab w:val="left" w:pos="3980"/>
              </w:tabs>
              <w:autoSpaceDE w:val="0"/>
              <w:autoSpaceDN w:val="0"/>
              <w:adjustRightInd w:val="0"/>
              <w:spacing w:after="0" w:line="300" w:lineRule="exact"/>
              <w:ind w:firstLine="211" w:firstLineChars="98"/>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推荐的中标候选人的人数为</w:t>
            </w:r>
            <w:r>
              <w:rPr>
                <w:rFonts w:hint="eastAsia" w:ascii="仿宋_GB2312" w:hAnsi="仿宋_GB2312" w:eastAsia="仿宋_GB2312" w:cs="仿宋_GB2312"/>
                <w:spacing w:val="3"/>
                <w:sz w:val="21"/>
                <w:szCs w:val="21"/>
                <w:u w:val="single"/>
                <w:lang w:eastAsia="zh-CN"/>
              </w:rPr>
              <w:t xml:space="preserve">  3  </w:t>
            </w:r>
            <w:r>
              <w:rPr>
                <w:rFonts w:hint="eastAsia" w:ascii="仿宋_GB2312" w:hAnsi="仿宋_GB2312" w:eastAsia="仿宋_GB2312" w:cs="仿宋_GB2312"/>
                <w:spacing w:val="3"/>
                <w:sz w:val="21"/>
                <w:szCs w:val="21"/>
                <w:lang w:eastAsia="zh-CN"/>
              </w:rPr>
              <w:t>名</w:t>
            </w:r>
          </w:p>
        </w:tc>
      </w:tr>
    </w:tbl>
    <w:p>
      <w:pPr>
        <w:widowControl w:val="0"/>
        <w:autoSpaceDE w:val="0"/>
        <w:autoSpaceDN w:val="0"/>
        <w:adjustRightInd w:val="0"/>
        <w:spacing w:after="0" w:line="360" w:lineRule="auto"/>
        <w:rPr>
          <w:rFonts w:hint="eastAsia" w:ascii="仿宋_GB2312" w:hAnsi="仿宋_GB2312" w:eastAsia="仿宋_GB2312" w:cs="仿宋_GB2312"/>
          <w:sz w:val="20"/>
          <w:szCs w:val="20"/>
          <w:lang w:eastAsia="zh-CN"/>
        </w:rPr>
        <w:sectPr>
          <w:pgSz w:w="11907" w:h="16839"/>
          <w:pgMar w:top="1191" w:right="1147" w:bottom="1191" w:left="1276" w:header="720" w:footer="720" w:gutter="0"/>
          <w:cols w:space="720" w:num="1"/>
        </w:sectPr>
      </w:pPr>
    </w:p>
    <w:p>
      <w:pPr>
        <w:spacing w:line="360" w:lineRule="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第一信封及第二信封详细评分标准</w:t>
      </w:r>
    </w:p>
    <w:tbl>
      <w:tblPr>
        <w:tblStyle w:val="4"/>
        <w:tblW w:w="14459" w:type="dxa"/>
        <w:tblInd w:w="0" w:type="dxa"/>
        <w:tblLayout w:type="fixed"/>
        <w:tblCellMar>
          <w:top w:w="0" w:type="dxa"/>
          <w:left w:w="0" w:type="dxa"/>
          <w:bottom w:w="0" w:type="dxa"/>
          <w:right w:w="0" w:type="dxa"/>
        </w:tblCellMar>
      </w:tblPr>
      <w:tblGrid>
        <w:gridCol w:w="709"/>
        <w:gridCol w:w="2693"/>
        <w:gridCol w:w="851"/>
        <w:gridCol w:w="2126"/>
        <w:gridCol w:w="992"/>
        <w:gridCol w:w="7088"/>
      </w:tblGrid>
      <w:tr>
        <w:tblPrEx>
          <w:tblCellMar>
            <w:top w:w="0" w:type="dxa"/>
            <w:left w:w="0" w:type="dxa"/>
            <w:bottom w:w="0" w:type="dxa"/>
            <w:right w:w="0" w:type="dxa"/>
          </w:tblCellMar>
        </w:tblPrEx>
        <w:trPr>
          <w:trHeight w:val="430" w:hRule="exact"/>
          <w:tblHeader/>
        </w:trPr>
        <w:tc>
          <w:tcPr>
            <w:tcW w:w="737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评审因素与权重分值</w:t>
            </w:r>
          </w:p>
        </w:tc>
        <w:tc>
          <w:tcPr>
            <w:tcW w:w="708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评分标准</w:t>
            </w:r>
          </w:p>
        </w:tc>
      </w:tr>
      <w:tr>
        <w:tblPrEx>
          <w:tblCellMar>
            <w:top w:w="0" w:type="dxa"/>
            <w:left w:w="0" w:type="dxa"/>
            <w:bottom w:w="0" w:type="dxa"/>
            <w:right w:w="0" w:type="dxa"/>
          </w:tblCellMar>
        </w:tblPrEx>
        <w:trPr>
          <w:trHeight w:val="907" w:hRule="exact"/>
          <w:tblHead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评审因素</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评审因素</w:t>
            </w:r>
          </w:p>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权重分值</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各评审因素细分项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分值</w:t>
            </w:r>
          </w:p>
        </w:tc>
        <w:tc>
          <w:tcPr>
            <w:tcW w:w="708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both"/>
              <w:rPr>
                <w:rFonts w:hint="eastAsia" w:ascii="仿宋_GB2312" w:hAnsi="仿宋_GB2312" w:eastAsia="仿宋_GB2312" w:cs="仿宋_GB2312"/>
                <w:b/>
                <w:sz w:val="21"/>
                <w:szCs w:val="21"/>
              </w:rPr>
            </w:pPr>
          </w:p>
        </w:tc>
      </w:tr>
      <w:tr>
        <w:tblPrEx>
          <w:tblCellMar>
            <w:top w:w="0" w:type="dxa"/>
            <w:left w:w="0" w:type="dxa"/>
            <w:bottom w:w="0" w:type="dxa"/>
            <w:right w:w="0" w:type="dxa"/>
          </w:tblCellMar>
        </w:tblPrEx>
        <w:trPr>
          <w:trHeight w:val="1247" w:hRule="atLeast"/>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投标人与</w:t>
            </w:r>
          </w:p>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本项目相关的具体业绩</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分</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类似项目业绩</w:t>
            </w: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分</w:t>
            </w:r>
          </w:p>
        </w:tc>
        <w:tc>
          <w:tcPr>
            <w:tcW w:w="7088" w:type="dxa"/>
            <w:tcBorders>
              <w:top w:val="single" w:color="000000" w:sz="4" w:space="0"/>
              <w:left w:val="single" w:color="000000" w:sz="4" w:space="0"/>
              <w:bottom w:val="single" w:color="auto"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符合资格审查条件（业绩最低要求）要求得</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lang w:eastAsia="zh-CN"/>
              </w:rPr>
              <w:t>分，近3年每多一个类似项目业绩加</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分，加满</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lang w:eastAsia="zh-CN"/>
              </w:rPr>
              <w:t>分为止。</w:t>
            </w:r>
            <w:r>
              <w:rPr>
                <w:rFonts w:hint="eastAsia" w:ascii="仿宋_GB2312" w:hAnsi="仿宋_GB2312" w:eastAsia="仿宋_GB2312" w:cs="仿宋_GB2312"/>
                <w:b/>
                <w:szCs w:val="21"/>
                <w:u w:val="single"/>
                <w:lang w:eastAsia="zh-CN"/>
              </w:rPr>
              <w:t>需提供中标通知书或项目合同（复印件加盖公章）。</w:t>
            </w:r>
          </w:p>
        </w:tc>
      </w:tr>
      <w:tr>
        <w:tblPrEx>
          <w:tblCellMar>
            <w:top w:w="0" w:type="dxa"/>
            <w:left w:w="0" w:type="dxa"/>
            <w:bottom w:w="0" w:type="dxa"/>
            <w:right w:w="0" w:type="dxa"/>
          </w:tblCellMar>
        </w:tblPrEx>
        <w:trPr>
          <w:trHeight w:val="1440" w:hRule="exact"/>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b</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拟投入本项目</w:t>
            </w:r>
          </w:p>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的人员资格和能力</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15</w:t>
            </w:r>
            <w:r>
              <w:rPr>
                <w:rFonts w:hint="eastAsia" w:ascii="仿宋_GB2312" w:hAnsi="仿宋_GB2312" w:eastAsia="仿宋_GB2312" w:cs="仿宋_GB2312"/>
                <w:sz w:val="21"/>
                <w:szCs w:val="21"/>
              </w:rPr>
              <w:t>分</w:t>
            </w:r>
          </w:p>
        </w:tc>
        <w:tc>
          <w:tcPr>
            <w:tcW w:w="2126" w:type="dxa"/>
            <w:tcBorders>
              <w:top w:val="single" w:color="auto"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项目负责人</w:t>
            </w:r>
          </w:p>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任职资格与业绩</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分</w:t>
            </w:r>
          </w:p>
        </w:tc>
        <w:tc>
          <w:tcPr>
            <w:tcW w:w="7088" w:type="dxa"/>
            <w:tcBorders>
              <w:top w:val="single" w:color="auto" w:sz="4" w:space="0"/>
              <w:left w:val="single" w:color="000000" w:sz="4" w:space="0"/>
              <w:bottom w:val="single" w:color="000000" w:sz="4" w:space="0"/>
              <w:right w:val="single" w:color="000000" w:sz="4" w:space="0"/>
            </w:tcBorders>
            <w:noWrap w:val="0"/>
            <w:vAlign w:val="center"/>
          </w:tcPr>
          <w:p>
            <w:pPr>
              <w:pStyle w:val="2"/>
              <w:spacing w:after="0" w:line="360" w:lineRule="exact"/>
              <w:ind w:left="106" w:leftChars="48"/>
              <w:jc w:val="both"/>
              <w:rPr>
                <w:rFonts w:hint="eastAsia" w:ascii="仿宋_GB2312" w:hAnsi="仿宋_GB2312" w:eastAsia="仿宋_GB2312" w:cs="仿宋_GB2312"/>
                <w:lang w:eastAsia="zh-CN"/>
              </w:rPr>
            </w:pPr>
            <w:r>
              <w:rPr>
                <w:rFonts w:hint="eastAsia" w:ascii="仿宋_GB2312" w:hAnsi="仿宋_GB2312" w:eastAsia="仿宋_GB2312" w:cs="仿宋_GB2312"/>
                <w:sz w:val="21"/>
                <w:szCs w:val="21"/>
                <w:lang w:eastAsia="zh-CN"/>
              </w:rPr>
              <w:t>满足资格审查条件（主要人员最低要求）的得基本分</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lang w:eastAsia="zh-CN"/>
              </w:rPr>
              <w:t>分；近3年内每增加一个类似项目业绩的加1分，加满</w:t>
            </w:r>
            <w:r>
              <w:rPr>
                <w:rFonts w:hint="eastAsia" w:ascii="仿宋_GB2312" w:hAnsi="仿宋_GB2312" w:eastAsia="仿宋_GB2312" w:cs="仿宋_GB2312"/>
                <w:sz w:val="21"/>
                <w:szCs w:val="21"/>
                <w:lang w:val="en-US" w:eastAsia="zh-CN"/>
              </w:rPr>
              <w:t>9</w:t>
            </w:r>
            <w:r>
              <w:rPr>
                <w:rFonts w:hint="eastAsia" w:ascii="仿宋_GB2312" w:hAnsi="仿宋_GB2312" w:eastAsia="仿宋_GB2312" w:cs="仿宋_GB2312"/>
                <w:sz w:val="21"/>
                <w:szCs w:val="21"/>
                <w:lang w:eastAsia="zh-CN"/>
              </w:rPr>
              <w:t>分为止。</w:t>
            </w:r>
            <w:r>
              <w:rPr>
                <w:rFonts w:hint="eastAsia" w:ascii="仿宋_GB2312" w:hAnsi="仿宋_GB2312" w:eastAsia="仿宋_GB2312" w:cs="仿宋_GB2312"/>
                <w:b/>
                <w:szCs w:val="21"/>
                <w:u w:val="single"/>
                <w:lang w:eastAsia="zh-CN"/>
              </w:rPr>
              <w:t>需提供中标通知书或项目合同（复印件加盖公章）。</w:t>
            </w:r>
            <w:bookmarkStart w:id="0" w:name="_GoBack"/>
            <w:bookmarkEnd w:id="0"/>
          </w:p>
        </w:tc>
      </w:tr>
      <w:tr>
        <w:tblPrEx>
          <w:tblCellMar>
            <w:top w:w="0" w:type="dxa"/>
            <w:left w:w="0" w:type="dxa"/>
            <w:bottom w:w="0" w:type="dxa"/>
            <w:right w:w="0" w:type="dxa"/>
          </w:tblCellMar>
        </w:tblPrEx>
        <w:trPr>
          <w:trHeight w:val="1402" w:hRule="atLeast"/>
        </w:trPr>
        <w:tc>
          <w:tcPr>
            <w:tcW w:w="709" w:type="dxa"/>
            <w:tcBorders>
              <w:left w:val="single" w:color="000000" w:sz="4" w:space="0"/>
              <w:bottom w:val="single" w:color="000000" w:sz="4" w:space="0"/>
              <w:right w:val="single" w:color="000000" w:sz="4" w:space="0"/>
            </w:tcBorders>
            <w:noWrap w:val="0"/>
            <w:vAlign w:val="center"/>
          </w:tcPr>
          <w:p>
            <w:pPr>
              <w:spacing w:after="0" w:line="36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c</w:t>
            </w:r>
          </w:p>
        </w:tc>
        <w:tc>
          <w:tcPr>
            <w:tcW w:w="2693" w:type="dxa"/>
            <w:tcBorders>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投标人的信誉</w:t>
            </w:r>
          </w:p>
        </w:tc>
        <w:tc>
          <w:tcPr>
            <w:tcW w:w="851" w:type="dxa"/>
            <w:tcBorders>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p>
        </w:tc>
        <w:tc>
          <w:tcPr>
            <w:tcW w:w="2126" w:type="dxa"/>
            <w:tcBorders>
              <w:top w:val="single" w:color="auto"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获奖情况</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7分</w:t>
            </w:r>
          </w:p>
        </w:tc>
        <w:tc>
          <w:tcPr>
            <w:tcW w:w="7088" w:type="dxa"/>
            <w:tcBorders>
              <w:top w:val="single" w:color="auto" w:sz="4" w:space="0"/>
              <w:left w:val="single" w:color="000000" w:sz="4" w:space="0"/>
              <w:bottom w:val="single" w:color="000000"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获国家级奖项每一项得2分；获省部级奖项每一项得1分；获地州级奖项每一项得0.5分，加满5分为止（同一个项目得分按最高奖项计分）。</w:t>
            </w:r>
          </w:p>
        </w:tc>
      </w:tr>
      <w:tr>
        <w:tblPrEx>
          <w:tblCellMar>
            <w:top w:w="0" w:type="dxa"/>
            <w:left w:w="0" w:type="dxa"/>
            <w:bottom w:w="0" w:type="dxa"/>
            <w:right w:w="0" w:type="dxa"/>
          </w:tblCellMar>
        </w:tblPrEx>
        <w:trPr>
          <w:trHeight w:val="1108" w:hRule="atLeast"/>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d</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对招标项目的理解和总体编制思路</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after="0" w:line="360" w:lineRule="exact"/>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7</w:t>
            </w:r>
            <w:r>
              <w:rPr>
                <w:rFonts w:hint="eastAsia" w:ascii="仿宋_GB2312" w:hAnsi="仿宋_GB2312" w:eastAsia="仿宋_GB2312" w:cs="仿宋_GB2312"/>
                <w:sz w:val="21"/>
                <w:szCs w:val="21"/>
              </w:rPr>
              <w:t>分</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7</w:t>
            </w:r>
            <w:r>
              <w:rPr>
                <w:rFonts w:hint="eastAsia" w:ascii="仿宋_GB2312" w:hAnsi="仿宋_GB2312" w:eastAsia="仿宋_GB2312" w:cs="仿宋_GB2312"/>
                <w:sz w:val="21"/>
                <w:szCs w:val="21"/>
              </w:rPr>
              <w:t>分</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Style w:val="6"/>
                <w:rFonts w:hint="eastAsia" w:ascii="仿宋_GB2312" w:hAnsi="仿宋_GB2312" w:eastAsia="仿宋_GB2312" w:cs="仿宋_GB2312"/>
                <w:sz w:val="21"/>
                <w:szCs w:val="21"/>
                <w:lang w:eastAsia="zh-CN"/>
              </w:rPr>
              <w:t>对招标项目的理解和总体编制思路基本合理，能够满足本工程</w:t>
            </w:r>
            <w:r>
              <w:rPr>
                <w:rFonts w:hint="eastAsia" w:ascii="仿宋_GB2312" w:hAnsi="仿宋_GB2312" w:eastAsia="仿宋_GB2312" w:cs="仿宋_GB2312"/>
                <w:spacing w:val="3"/>
                <w:sz w:val="21"/>
                <w:szCs w:val="21"/>
                <w:lang w:eastAsia="zh-CN"/>
              </w:rPr>
              <w:t>可行性研究报告编制</w:t>
            </w:r>
            <w:r>
              <w:rPr>
                <w:rStyle w:val="6"/>
                <w:rFonts w:hint="eastAsia" w:ascii="仿宋_GB2312" w:hAnsi="仿宋_GB2312" w:eastAsia="仿宋_GB2312" w:cs="仿宋_GB2312"/>
                <w:sz w:val="21"/>
                <w:szCs w:val="21"/>
                <w:lang w:eastAsia="zh-CN"/>
              </w:rPr>
              <w:t>要求的，得2～5分，对本项目的理解和技术建议以及</w:t>
            </w:r>
            <w:r>
              <w:rPr>
                <w:rFonts w:hint="eastAsia" w:ascii="仿宋_GB2312" w:hAnsi="仿宋_GB2312" w:eastAsia="仿宋_GB2312" w:cs="仿宋_GB2312"/>
                <w:spacing w:val="3"/>
                <w:sz w:val="21"/>
                <w:szCs w:val="21"/>
                <w:lang w:eastAsia="zh-CN"/>
              </w:rPr>
              <w:t>可行性研究报告编制</w:t>
            </w:r>
            <w:r>
              <w:rPr>
                <w:rStyle w:val="6"/>
                <w:rFonts w:hint="eastAsia" w:ascii="仿宋_GB2312" w:hAnsi="仿宋_GB2312" w:eastAsia="仿宋_GB2312" w:cs="仿宋_GB2312"/>
                <w:sz w:val="21"/>
                <w:szCs w:val="21"/>
                <w:lang w:eastAsia="zh-CN"/>
              </w:rPr>
              <w:t>新技术、新理念的采用合理、可靠、完善的，得5～7分。</w:t>
            </w:r>
          </w:p>
        </w:tc>
      </w:tr>
      <w:tr>
        <w:tblPrEx>
          <w:tblCellMar>
            <w:top w:w="0" w:type="dxa"/>
            <w:left w:w="0" w:type="dxa"/>
            <w:bottom w:w="0" w:type="dxa"/>
            <w:right w:w="0" w:type="dxa"/>
          </w:tblCellMar>
        </w:tblPrEx>
        <w:trPr>
          <w:trHeight w:val="721" w:hRule="atLeast"/>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e</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招标项目的特点、关键技术问题的认识及其对策措施</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7</w:t>
            </w:r>
            <w:r>
              <w:rPr>
                <w:rFonts w:hint="eastAsia" w:ascii="仿宋_GB2312" w:hAnsi="仿宋_GB2312" w:eastAsia="仿宋_GB2312" w:cs="仿宋_GB2312"/>
                <w:sz w:val="21"/>
                <w:szCs w:val="21"/>
              </w:rPr>
              <w:t>分</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7</w:t>
            </w:r>
            <w:r>
              <w:rPr>
                <w:rFonts w:hint="eastAsia" w:ascii="仿宋_GB2312" w:hAnsi="仿宋_GB2312" w:eastAsia="仿宋_GB2312" w:cs="仿宋_GB2312"/>
                <w:sz w:val="21"/>
                <w:szCs w:val="21"/>
              </w:rPr>
              <w:t>分</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Style w:val="6"/>
                <w:rFonts w:hint="eastAsia" w:ascii="仿宋_GB2312" w:hAnsi="仿宋_GB2312" w:eastAsia="仿宋_GB2312" w:cs="仿宋_GB2312"/>
                <w:sz w:val="21"/>
                <w:szCs w:val="21"/>
                <w:lang w:eastAsia="zh-CN"/>
              </w:rPr>
              <w:t>基本分3分；</w:t>
            </w:r>
            <w:r>
              <w:rPr>
                <w:rFonts w:hint="eastAsia" w:ascii="仿宋_GB2312" w:hAnsi="仿宋_GB2312" w:eastAsia="仿宋_GB2312" w:cs="仿宋_GB2312"/>
                <w:sz w:val="21"/>
                <w:szCs w:val="21"/>
                <w:lang w:eastAsia="zh-CN"/>
              </w:rPr>
              <w:t>对本招标项目的特点、关键技术问题的认识及其对策措施方案得当、针对性强的酌情加0～4分。</w:t>
            </w:r>
          </w:p>
        </w:tc>
      </w:tr>
      <w:tr>
        <w:tblPrEx>
          <w:tblCellMar>
            <w:top w:w="0" w:type="dxa"/>
            <w:left w:w="0" w:type="dxa"/>
            <w:bottom w:w="0" w:type="dxa"/>
            <w:right w:w="0" w:type="dxa"/>
          </w:tblCellMar>
        </w:tblPrEx>
        <w:trPr>
          <w:trHeight w:val="799" w:hRule="atLeast"/>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after="0" w:line="360" w:lineRule="auto"/>
              <w:ind w:left="399" w:hanging="39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f</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可行性研究报告</w:t>
            </w:r>
            <w:r>
              <w:rPr>
                <w:rFonts w:hint="eastAsia" w:ascii="仿宋_GB2312" w:hAnsi="仿宋_GB2312" w:eastAsia="仿宋_GB2312" w:cs="仿宋_GB2312"/>
                <w:sz w:val="21"/>
                <w:szCs w:val="21"/>
                <w:lang w:eastAsia="zh-CN"/>
              </w:rPr>
              <w:t>编制工作量及计划安排</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5</w:t>
            </w:r>
            <w:r>
              <w:rPr>
                <w:rFonts w:hint="eastAsia" w:ascii="仿宋_GB2312" w:hAnsi="仿宋_GB2312" w:eastAsia="仿宋_GB2312" w:cs="仿宋_GB2312"/>
                <w:sz w:val="21"/>
                <w:szCs w:val="21"/>
              </w:rPr>
              <w:t>分</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5</w:t>
            </w:r>
            <w:r>
              <w:rPr>
                <w:rFonts w:hint="eastAsia" w:ascii="仿宋_GB2312" w:hAnsi="仿宋_GB2312" w:eastAsia="仿宋_GB2312" w:cs="仿宋_GB2312"/>
                <w:sz w:val="21"/>
                <w:szCs w:val="21"/>
              </w:rPr>
              <w:t>分</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提出了</w:t>
            </w:r>
            <w:r>
              <w:rPr>
                <w:rFonts w:hint="eastAsia" w:ascii="仿宋_GB2312" w:hAnsi="仿宋_GB2312" w:eastAsia="仿宋_GB2312" w:cs="仿宋_GB2312"/>
                <w:sz w:val="21"/>
                <w:szCs w:val="21"/>
                <w:lang w:val="en-US" w:eastAsia="zh-CN"/>
              </w:rPr>
              <w:t>可行性研究报告</w:t>
            </w:r>
            <w:r>
              <w:rPr>
                <w:rFonts w:hint="eastAsia" w:ascii="仿宋_GB2312" w:hAnsi="仿宋_GB2312" w:eastAsia="仿宋_GB2312" w:cs="仿宋_GB2312"/>
                <w:sz w:val="21"/>
                <w:szCs w:val="21"/>
                <w:lang w:eastAsia="zh-CN"/>
              </w:rPr>
              <w:t>编制工作计划安排的，得基本2分；</w:t>
            </w:r>
          </w:p>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编制计划完善，能够较好满足本工程</w:t>
            </w:r>
            <w:r>
              <w:rPr>
                <w:rFonts w:hint="eastAsia" w:ascii="仿宋_GB2312" w:hAnsi="仿宋_GB2312" w:eastAsia="仿宋_GB2312" w:cs="仿宋_GB2312"/>
                <w:sz w:val="21"/>
                <w:szCs w:val="21"/>
                <w:lang w:val="en-US" w:eastAsia="zh-CN"/>
              </w:rPr>
              <w:t>可行性研究报告</w:t>
            </w:r>
            <w:r>
              <w:rPr>
                <w:rFonts w:hint="eastAsia" w:ascii="仿宋_GB2312" w:hAnsi="仿宋_GB2312" w:eastAsia="仿宋_GB2312" w:cs="仿宋_GB2312"/>
                <w:sz w:val="21"/>
                <w:szCs w:val="21"/>
                <w:lang w:eastAsia="zh-CN"/>
              </w:rPr>
              <w:t>编制要求的酌情加0～3分。</w:t>
            </w:r>
          </w:p>
        </w:tc>
      </w:tr>
      <w:tr>
        <w:tblPrEx>
          <w:tblCellMar>
            <w:top w:w="0" w:type="dxa"/>
            <w:left w:w="0" w:type="dxa"/>
            <w:bottom w:w="0" w:type="dxa"/>
            <w:right w:w="0" w:type="dxa"/>
          </w:tblCellMar>
        </w:tblPrEx>
        <w:trPr>
          <w:trHeight w:val="1261" w:hRule="atLeast"/>
        </w:trPr>
        <w:tc>
          <w:tcPr>
            <w:tcW w:w="709" w:type="dxa"/>
            <w:vMerge w:val="restart"/>
            <w:tcBorders>
              <w:top w:val="single" w:color="000000" w:sz="4" w:space="0"/>
              <w:left w:val="single" w:color="000000" w:sz="4" w:space="0"/>
              <w:right w:val="single" w:color="000000" w:sz="4" w:space="0"/>
            </w:tcBorders>
            <w:noWrap w:val="0"/>
            <w:vAlign w:val="center"/>
          </w:tcPr>
          <w:p>
            <w:pPr>
              <w:snapToGrid w:val="0"/>
              <w:spacing w:after="0" w:line="360" w:lineRule="auto"/>
              <w:ind w:left="399" w:hanging="39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g</w:t>
            </w:r>
          </w:p>
        </w:tc>
        <w:tc>
          <w:tcPr>
            <w:tcW w:w="2693" w:type="dxa"/>
            <w:vMerge w:val="restart"/>
            <w:tcBorders>
              <w:top w:val="single" w:color="000000" w:sz="4" w:space="0"/>
              <w:left w:val="single" w:color="000000" w:sz="4" w:space="0"/>
              <w:right w:val="single" w:color="000000" w:sz="4" w:space="0"/>
            </w:tcBorders>
            <w:noWrap w:val="0"/>
            <w:vAlign w:val="center"/>
          </w:tcPr>
          <w:p>
            <w:pPr>
              <w:snapToGrid w:val="0"/>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质量保证措施、进度保证措施</w:t>
            </w:r>
          </w:p>
        </w:tc>
        <w:tc>
          <w:tcPr>
            <w:tcW w:w="851" w:type="dxa"/>
            <w:vMerge w:val="restart"/>
            <w:tcBorders>
              <w:top w:val="single" w:color="000000" w:sz="4" w:space="0"/>
              <w:left w:val="single" w:color="000000"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6</w:t>
            </w:r>
            <w:r>
              <w:rPr>
                <w:rFonts w:hint="eastAsia" w:ascii="仿宋_GB2312" w:hAnsi="仿宋_GB2312" w:eastAsia="仿宋_GB2312" w:cs="仿宋_GB2312"/>
                <w:sz w:val="21"/>
                <w:szCs w:val="21"/>
              </w:rPr>
              <w:t>分</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质量保证措施</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3</w:t>
            </w:r>
            <w:r>
              <w:rPr>
                <w:rFonts w:hint="eastAsia" w:ascii="仿宋_GB2312" w:hAnsi="仿宋_GB2312" w:eastAsia="仿宋_GB2312" w:cs="仿宋_GB2312"/>
                <w:sz w:val="21"/>
                <w:szCs w:val="21"/>
              </w:rPr>
              <w:t>分</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提出质量保证措施的，得基本分1分；</w:t>
            </w:r>
          </w:p>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在此基础上，质量控制流程较合理，内容较全，得1～2分；</w:t>
            </w:r>
          </w:p>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质量控制流程合理可行，内容全面，测设各环节均处在受控状态，得2～3分。</w:t>
            </w:r>
          </w:p>
        </w:tc>
      </w:tr>
      <w:tr>
        <w:tblPrEx>
          <w:tblCellMar>
            <w:top w:w="0" w:type="dxa"/>
            <w:left w:w="0" w:type="dxa"/>
            <w:bottom w:w="0" w:type="dxa"/>
            <w:right w:w="0" w:type="dxa"/>
          </w:tblCellMar>
        </w:tblPrEx>
        <w:trPr>
          <w:trHeight w:val="1041" w:hRule="atLeast"/>
        </w:trPr>
        <w:tc>
          <w:tcPr>
            <w:tcW w:w="709" w:type="dxa"/>
            <w:vMerge w:val="continue"/>
            <w:tcBorders>
              <w:left w:val="single" w:color="000000" w:sz="4" w:space="0"/>
              <w:bottom w:val="single" w:color="000000" w:sz="4" w:space="0"/>
              <w:right w:val="single" w:color="000000" w:sz="4" w:space="0"/>
            </w:tcBorders>
            <w:noWrap w:val="0"/>
            <w:vAlign w:val="center"/>
          </w:tcPr>
          <w:p>
            <w:pPr>
              <w:snapToGrid w:val="0"/>
              <w:spacing w:after="0" w:line="360" w:lineRule="auto"/>
              <w:ind w:left="399" w:hanging="399"/>
              <w:jc w:val="center"/>
              <w:rPr>
                <w:rFonts w:hint="eastAsia" w:ascii="仿宋_GB2312" w:hAnsi="仿宋_GB2312" w:eastAsia="仿宋_GB2312" w:cs="仿宋_GB2312"/>
                <w:sz w:val="21"/>
                <w:szCs w:val="21"/>
                <w:lang w:eastAsia="zh-CN"/>
              </w:rPr>
            </w:pPr>
          </w:p>
        </w:tc>
        <w:tc>
          <w:tcPr>
            <w:tcW w:w="2693" w:type="dxa"/>
            <w:vMerge w:val="continue"/>
            <w:tcBorders>
              <w:left w:val="single" w:color="000000" w:sz="4" w:space="0"/>
              <w:bottom w:val="single" w:color="000000" w:sz="4" w:space="0"/>
              <w:right w:val="single" w:color="000000" w:sz="4" w:space="0"/>
            </w:tcBorders>
            <w:noWrap w:val="0"/>
            <w:vAlign w:val="center"/>
          </w:tcPr>
          <w:p>
            <w:pPr>
              <w:snapToGrid w:val="0"/>
              <w:spacing w:after="0" w:line="360" w:lineRule="exact"/>
              <w:jc w:val="center"/>
              <w:rPr>
                <w:rFonts w:hint="eastAsia" w:ascii="仿宋_GB2312" w:hAnsi="仿宋_GB2312" w:eastAsia="仿宋_GB2312" w:cs="仿宋_GB2312"/>
                <w:sz w:val="21"/>
                <w:szCs w:val="21"/>
                <w:lang w:eastAsia="zh-CN"/>
              </w:rPr>
            </w:pPr>
          </w:p>
        </w:tc>
        <w:tc>
          <w:tcPr>
            <w:tcW w:w="851" w:type="dxa"/>
            <w:vMerge w:val="continue"/>
            <w:tcBorders>
              <w:left w:val="single" w:color="000000" w:sz="4" w:space="0"/>
              <w:bottom w:val="single" w:color="000000"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lang w:eastAsia="zh-CN"/>
              </w:rPr>
            </w:pPr>
          </w:p>
        </w:tc>
        <w:tc>
          <w:tcPr>
            <w:tcW w:w="212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进度保证措施</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w:t>
            </w:r>
            <w:r>
              <w:rPr>
                <w:rFonts w:hint="eastAsia" w:ascii="仿宋_GB2312" w:hAnsi="仿宋_GB2312" w:eastAsia="仿宋_GB2312" w:cs="仿宋_GB2312"/>
                <w:sz w:val="21"/>
                <w:szCs w:val="21"/>
              </w:rPr>
              <w:t>分</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提出进度保证措施的，得基本分1分；</w:t>
            </w:r>
          </w:p>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在此基础上，进度保证措施较合理，基本可行，得1～2分；</w:t>
            </w:r>
          </w:p>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进度保证措施合理得当，有效可行，得2～3分。</w:t>
            </w:r>
          </w:p>
        </w:tc>
      </w:tr>
      <w:tr>
        <w:tblPrEx>
          <w:tblCellMar>
            <w:top w:w="0" w:type="dxa"/>
            <w:left w:w="0" w:type="dxa"/>
            <w:bottom w:w="0" w:type="dxa"/>
            <w:right w:w="0" w:type="dxa"/>
          </w:tblCellMar>
        </w:tblPrEx>
        <w:trPr>
          <w:trHeight w:val="833" w:hRule="atLeast"/>
        </w:trPr>
        <w:tc>
          <w:tcPr>
            <w:tcW w:w="709" w:type="dxa"/>
            <w:tcBorders>
              <w:top w:val="single" w:color="000000" w:sz="4" w:space="0"/>
              <w:left w:val="single" w:color="000000" w:sz="4" w:space="0"/>
              <w:bottom w:val="single" w:color="auto" w:sz="4" w:space="0"/>
              <w:right w:val="single" w:color="000000" w:sz="4" w:space="0"/>
            </w:tcBorders>
            <w:noWrap w:val="0"/>
            <w:vAlign w:val="center"/>
          </w:tcPr>
          <w:p>
            <w:pPr>
              <w:snapToGrid w:val="0"/>
              <w:spacing w:after="0" w:line="360" w:lineRule="auto"/>
              <w:ind w:left="399" w:hanging="39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h</w:t>
            </w:r>
          </w:p>
        </w:tc>
        <w:tc>
          <w:tcPr>
            <w:tcW w:w="2693" w:type="dxa"/>
            <w:tcBorders>
              <w:top w:val="single" w:color="000000" w:sz="4" w:space="0"/>
              <w:left w:val="single" w:color="000000" w:sz="4" w:space="0"/>
              <w:bottom w:val="single" w:color="auto" w:sz="4" w:space="0"/>
              <w:right w:val="single" w:color="000000" w:sz="4" w:space="0"/>
            </w:tcBorders>
            <w:noWrap w:val="0"/>
            <w:vAlign w:val="center"/>
          </w:tcPr>
          <w:p>
            <w:pPr>
              <w:snapToGrid w:val="0"/>
              <w:spacing w:after="0"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后续服务的安排及保证措施</w:t>
            </w:r>
          </w:p>
        </w:tc>
        <w:tc>
          <w:tcPr>
            <w:tcW w:w="851" w:type="dxa"/>
            <w:tcBorders>
              <w:top w:val="single" w:color="000000" w:sz="4" w:space="0"/>
              <w:left w:val="single" w:color="000000" w:sz="4" w:space="0"/>
              <w:bottom w:val="single" w:color="auto"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5</w:t>
            </w:r>
            <w:r>
              <w:rPr>
                <w:rFonts w:hint="eastAsia" w:ascii="仿宋_GB2312" w:hAnsi="仿宋_GB2312" w:eastAsia="仿宋_GB2312" w:cs="仿宋_GB2312"/>
                <w:sz w:val="21"/>
                <w:szCs w:val="21"/>
              </w:rPr>
              <w:t>分</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spacing w:after="0"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5</w:t>
            </w:r>
            <w:r>
              <w:rPr>
                <w:rFonts w:hint="eastAsia" w:ascii="仿宋_GB2312" w:hAnsi="仿宋_GB2312" w:eastAsia="仿宋_GB2312" w:cs="仿宋_GB2312"/>
                <w:sz w:val="21"/>
                <w:szCs w:val="21"/>
              </w:rPr>
              <w:t>分</w:t>
            </w:r>
          </w:p>
        </w:tc>
        <w:tc>
          <w:tcPr>
            <w:tcW w:w="7088" w:type="dxa"/>
            <w:tcBorders>
              <w:top w:val="single" w:color="000000" w:sz="4" w:space="0"/>
              <w:left w:val="single" w:color="000000" w:sz="4" w:space="0"/>
              <w:bottom w:val="single" w:color="000000" w:sz="4" w:space="0"/>
              <w:right w:val="single" w:color="000000" w:sz="4" w:space="0"/>
            </w:tcBorders>
            <w:noWrap w:val="0"/>
            <w:vAlign w:val="center"/>
          </w:tcPr>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提出后续服务方案和措施的，得基本分2分；</w:t>
            </w:r>
          </w:p>
          <w:p>
            <w:pPr>
              <w:spacing w:after="0" w:line="360" w:lineRule="exact"/>
              <w:ind w:left="106" w:leftChars="48"/>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在此基础上，提出的后续服务方案和措施基本满足招标文件的要求，得2～3分；按招标文件的要求提出技术交底工作方案和安排，明确了</w:t>
            </w:r>
            <w:r>
              <w:rPr>
                <w:rFonts w:hint="eastAsia" w:ascii="仿宋_GB2312" w:hAnsi="仿宋_GB2312" w:eastAsia="仿宋_GB2312" w:cs="仿宋_GB2312"/>
                <w:spacing w:val="3"/>
                <w:sz w:val="21"/>
                <w:szCs w:val="21"/>
                <w:lang w:eastAsia="zh-CN"/>
              </w:rPr>
              <w:t>可行性研究报告编制</w:t>
            </w:r>
            <w:r>
              <w:rPr>
                <w:rFonts w:hint="eastAsia" w:ascii="仿宋_GB2312" w:hAnsi="仿宋_GB2312" w:eastAsia="仿宋_GB2312" w:cs="仿宋_GB2312"/>
                <w:sz w:val="21"/>
                <w:szCs w:val="21"/>
                <w:lang w:eastAsia="zh-CN"/>
              </w:rPr>
              <w:t>回访工作计划，指定了合格的后续服务人员，明确了后续服务组及后续服务项目负责人和服务时间，并对后续服务工作人员的职责、权限和变更有明确规定的，得3～5分。</w:t>
            </w:r>
          </w:p>
        </w:tc>
      </w:tr>
      <w:tr>
        <w:tblPrEx>
          <w:tblCellMar>
            <w:top w:w="0" w:type="dxa"/>
            <w:left w:w="0" w:type="dxa"/>
            <w:bottom w:w="0" w:type="dxa"/>
            <w:right w:w="0" w:type="dxa"/>
          </w:tblCellMar>
        </w:tblPrEx>
        <w:trPr>
          <w:trHeight w:val="596" w:hRule="atLeast"/>
        </w:trPr>
        <w:tc>
          <w:tcPr>
            <w:tcW w:w="709" w:type="dxa"/>
            <w:vMerge w:val="restart"/>
            <w:tcBorders>
              <w:top w:val="single" w:color="auto" w:sz="4" w:space="0"/>
              <w:left w:val="single" w:color="auto" w:sz="4" w:space="0"/>
              <w:bottom w:val="single" w:color="auto" w:sz="4" w:space="0"/>
              <w:right w:val="single" w:color="000000" w:sz="4" w:space="0"/>
            </w:tcBorders>
            <w:noWrap w:val="0"/>
            <w:vAlign w:val="center"/>
          </w:tcPr>
          <w:p>
            <w:pPr>
              <w:snapToGrid w:val="0"/>
              <w:spacing w:after="0" w:line="360" w:lineRule="auto"/>
              <w:ind w:left="399" w:hanging="39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i</w:t>
            </w:r>
          </w:p>
        </w:tc>
        <w:tc>
          <w:tcPr>
            <w:tcW w:w="2693" w:type="dxa"/>
            <w:vMerge w:val="restart"/>
            <w:tcBorders>
              <w:top w:val="single" w:color="auto" w:sz="4" w:space="0"/>
              <w:left w:val="single" w:color="000000" w:sz="4" w:space="0"/>
              <w:bottom w:val="single" w:color="auto"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投标价</w:t>
            </w:r>
          </w:p>
        </w:tc>
        <w:tc>
          <w:tcPr>
            <w:tcW w:w="851" w:type="dxa"/>
            <w:vMerge w:val="restart"/>
            <w:tcBorders>
              <w:top w:val="single" w:color="auto" w:sz="4" w:space="0"/>
              <w:left w:val="single" w:color="000000" w:sz="4" w:space="0"/>
              <w:bottom w:val="single" w:color="auto"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30分</w:t>
            </w:r>
          </w:p>
        </w:tc>
        <w:tc>
          <w:tcPr>
            <w:tcW w:w="2126" w:type="dxa"/>
            <w:vMerge w:val="restart"/>
            <w:tcBorders>
              <w:top w:val="single" w:color="auto" w:sz="4" w:space="0"/>
              <w:left w:val="single" w:color="000000" w:sz="4" w:space="0"/>
              <w:bottom w:val="single" w:color="auto" w:sz="4" w:space="0"/>
              <w:right w:val="single" w:color="000000"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lang w:eastAsia="zh-CN"/>
              </w:rPr>
            </w:pPr>
          </w:p>
        </w:tc>
        <w:tc>
          <w:tcPr>
            <w:tcW w:w="992" w:type="dxa"/>
            <w:vMerge w:val="restart"/>
            <w:tcBorders>
              <w:top w:val="single" w:color="auto" w:sz="4" w:space="0"/>
              <w:left w:val="single" w:color="000000" w:sz="4" w:space="0"/>
              <w:bottom w:val="single" w:color="auto" w:sz="4" w:space="0"/>
              <w:right w:val="single" w:color="auto" w:sz="4" w:space="0"/>
            </w:tcBorders>
            <w:noWrap w:val="0"/>
            <w:vAlign w:val="center"/>
          </w:tcPr>
          <w:p>
            <w:pPr>
              <w:snapToGrid w:val="0"/>
              <w:spacing w:after="0" w:line="360" w:lineRule="exact"/>
              <w:ind w:left="399" w:hanging="39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30分</w:t>
            </w:r>
          </w:p>
        </w:tc>
        <w:tc>
          <w:tcPr>
            <w:tcW w:w="7088"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after="0" w:line="360" w:lineRule="exact"/>
              <w:ind w:firstLine="105" w:firstLineChars="5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投标价</w:t>
            </w:r>
            <w:r>
              <w:rPr>
                <w:rFonts w:hint="eastAsia" w:ascii="仿宋_GB2312" w:hAnsi="仿宋_GB2312" w:eastAsia="仿宋_GB2312" w:cs="仿宋_GB2312"/>
                <w:spacing w:val="41"/>
                <w:sz w:val="21"/>
                <w:szCs w:val="21"/>
                <w:lang w:eastAsia="zh-CN"/>
              </w:rPr>
              <w:t xml:space="preserve"> </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pacing w:val="1"/>
                <w:sz w:val="21"/>
                <w:szCs w:val="21"/>
                <w:lang w:eastAsia="zh-CN"/>
              </w:rPr>
              <w:t xml:space="preserve"> </w:t>
            </w:r>
            <w:r>
              <w:rPr>
                <w:rFonts w:hint="eastAsia" w:ascii="仿宋_GB2312" w:hAnsi="仿宋_GB2312" w:eastAsia="仿宋_GB2312" w:cs="仿宋_GB2312"/>
                <w:sz w:val="21"/>
                <w:szCs w:val="21"/>
                <w:lang w:eastAsia="zh-CN"/>
              </w:rPr>
              <w:t>报价函</w:t>
            </w:r>
            <w:r>
              <w:rPr>
                <w:rFonts w:hint="eastAsia" w:ascii="仿宋_GB2312" w:hAnsi="仿宋_GB2312" w:eastAsia="仿宋_GB2312" w:cs="仿宋_GB2312"/>
                <w:spacing w:val="-1"/>
                <w:sz w:val="21"/>
                <w:szCs w:val="21"/>
                <w:lang w:eastAsia="zh-CN"/>
              </w:rPr>
              <w:t>文</w:t>
            </w:r>
            <w:r>
              <w:rPr>
                <w:rFonts w:hint="eastAsia" w:ascii="仿宋_GB2312" w:hAnsi="仿宋_GB2312" w:eastAsia="仿宋_GB2312" w:cs="仿宋_GB2312"/>
                <w:sz w:val="21"/>
                <w:szCs w:val="21"/>
                <w:lang w:eastAsia="zh-CN"/>
              </w:rPr>
              <w:t>字报价</w:t>
            </w:r>
          </w:p>
        </w:tc>
      </w:tr>
      <w:tr>
        <w:tblPrEx>
          <w:tblCellMar>
            <w:top w:w="0" w:type="dxa"/>
            <w:left w:w="0" w:type="dxa"/>
            <w:bottom w:w="0" w:type="dxa"/>
            <w:right w:w="0" w:type="dxa"/>
          </w:tblCellMar>
        </w:tblPrEx>
        <w:trPr>
          <w:trHeight w:val="782" w:hRule="atLeast"/>
        </w:trPr>
        <w:tc>
          <w:tcPr>
            <w:tcW w:w="709" w:type="dxa"/>
            <w:vMerge w:val="continue"/>
            <w:tcBorders>
              <w:top w:val="single" w:color="auto" w:sz="4" w:space="0"/>
              <w:left w:val="single" w:color="auto" w:sz="4" w:space="0"/>
              <w:bottom w:val="single" w:color="auto" w:sz="4" w:space="0"/>
              <w:right w:val="single" w:color="000000" w:sz="4" w:space="0"/>
            </w:tcBorders>
            <w:noWrap w:val="0"/>
            <w:vAlign w:val="center"/>
          </w:tcPr>
          <w:p>
            <w:pPr>
              <w:snapToGrid w:val="0"/>
              <w:spacing w:after="0" w:line="360" w:lineRule="auto"/>
              <w:ind w:left="399" w:hanging="399"/>
              <w:jc w:val="center"/>
              <w:rPr>
                <w:rFonts w:hint="eastAsia" w:ascii="仿宋_GB2312" w:hAnsi="仿宋_GB2312" w:eastAsia="仿宋_GB2312" w:cs="仿宋_GB2312"/>
                <w:sz w:val="21"/>
                <w:szCs w:val="21"/>
                <w:lang w:eastAsia="zh-CN"/>
              </w:rPr>
            </w:pPr>
          </w:p>
        </w:tc>
        <w:tc>
          <w:tcPr>
            <w:tcW w:w="2693" w:type="dxa"/>
            <w:vMerge w:val="continue"/>
            <w:tcBorders>
              <w:top w:val="single" w:color="auto" w:sz="4" w:space="0"/>
              <w:left w:val="single" w:color="000000" w:sz="4" w:space="0"/>
              <w:bottom w:val="single" w:color="auto" w:sz="4" w:space="0"/>
              <w:right w:val="single" w:color="000000" w:sz="4" w:space="0"/>
            </w:tcBorders>
            <w:noWrap w:val="0"/>
            <w:vAlign w:val="center"/>
          </w:tcPr>
          <w:p>
            <w:pPr>
              <w:snapToGrid w:val="0"/>
              <w:spacing w:after="0" w:line="360" w:lineRule="exact"/>
              <w:jc w:val="both"/>
              <w:rPr>
                <w:rFonts w:hint="eastAsia" w:ascii="仿宋_GB2312" w:hAnsi="仿宋_GB2312" w:eastAsia="仿宋_GB2312" w:cs="仿宋_GB2312"/>
                <w:sz w:val="21"/>
                <w:szCs w:val="21"/>
                <w:lang w:eastAsia="zh-CN"/>
              </w:rPr>
            </w:pPr>
          </w:p>
        </w:tc>
        <w:tc>
          <w:tcPr>
            <w:tcW w:w="851" w:type="dxa"/>
            <w:vMerge w:val="continue"/>
            <w:tcBorders>
              <w:top w:val="single" w:color="auto" w:sz="4" w:space="0"/>
              <w:left w:val="single" w:color="000000" w:sz="4" w:space="0"/>
              <w:bottom w:val="single" w:color="auto" w:sz="4" w:space="0"/>
              <w:right w:val="single" w:color="000000" w:sz="4" w:space="0"/>
            </w:tcBorders>
            <w:noWrap w:val="0"/>
            <w:vAlign w:val="center"/>
          </w:tcPr>
          <w:p>
            <w:pPr>
              <w:snapToGrid w:val="0"/>
              <w:spacing w:after="0" w:line="360" w:lineRule="exact"/>
              <w:ind w:left="399" w:hanging="399"/>
              <w:jc w:val="both"/>
              <w:rPr>
                <w:rFonts w:hint="eastAsia" w:ascii="仿宋_GB2312" w:hAnsi="仿宋_GB2312" w:eastAsia="仿宋_GB2312" w:cs="仿宋_GB2312"/>
                <w:sz w:val="21"/>
                <w:szCs w:val="21"/>
                <w:u w:val="single"/>
                <w:lang w:eastAsia="zh-CN"/>
              </w:rPr>
            </w:pPr>
          </w:p>
        </w:tc>
        <w:tc>
          <w:tcPr>
            <w:tcW w:w="212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after="0" w:line="360" w:lineRule="exact"/>
              <w:jc w:val="both"/>
              <w:rPr>
                <w:rFonts w:hint="eastAsia" w:ascii="仿宋_GB2312" w:hAnsi="仿宋_GB2312" w:eastAsia="仿宋_GB2312" w:cs="仿宋_GB2312"/>
                <w:sz w:val="21"/>
                <w:szCs w:val="21"/>
                <w:lang w:eastAsia="zh-CN"/>
              </w:rPr>
            </w:pPr>
          </w:p>
        </w:tc>
        <w:tc>
          <w:tcPr>
            <w:tcW w:w="992" w:type="dxa"/>
            <w:vMerge w:val="continue"/>
            <w:tcBorders>
              <w:top w:val="single" w:color="auto" w:sz="4" w:space="0"/>
              <w:left w:val="single" w:color="000000" w:sz="4" w:space="0"/>
              <w:bottom w:val="single" w:color="auto" w:sz="4" w:space="0"/>
              <w:right w:val="single" w:color="auto" w:sz="4" w:space="0"/>
            </w:tcBorders>
            <w:noWrap w:val="0"/>
            <w:vAlign w:val="center"/>
          </w:tcPr>
          <w:p>
            <w:pPr>
              <w:spacing w:after="0" w:line="360" w:lineRule="exact"/>
              <w:jc w:val="both"/>
              <w:rPr>
                <w:rFonts w:hint="eastAsia" w:ascii="仿宋_GB2312" w:hAnsi="仿宋_GB2312" w:eastAsia="仿宋_GB2312" w:cs="仿宋_GB2312"/>
                <w:sz w:val="21"/>
                <w:szCs w:val="21"/>
                <w:u w:val="single"/>
                <w:lang w:eastAsia="zh-CN"/>
              </w:rPr>
            </w:pPr>
          </w:p>
        </w:tc>
        <w:tc>
          <w:tcPr>
            <w:tcW w:w="7088"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after="0" w:line="360" w:lineRule="exact"/>
              <w:ind w:firstLine="107" w:firstLineChars="50"/>
              <w:jc w:val="both"/>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pacing w:val="2"/>
                <w:sz w:val="21"/>
                <w:szCs w:val="21"/>
                <w:lang w:eastAsia="zh-CN"/>
              </w:rPr>
              <w:t>评标基准</w:t>
            </w:r>
            <w:r>
              <w:rPr>
                <w:rFonts w:hint="eastAsia" w:ascii="仿宋_GB2312" w:hAnsi="仿宋_GB2312" w:eastAsia="仿宋_GB2312" w:cs="仿宋_GB2312"/>
                <w:spacing w:val="1"/>
                <w:sz w:val="21"/>
                <w:szCs w:val="21"/>
                <w:lang w:eastAsia="zh-CN"/>
              </w:rPr>
              <w:t>价</w:t>
            </w:r>
            <w:r>
              <w:rPr>
                <w:rFonts w:hint="eastAsia" w:ascii="仿宋_GB2312" w:hAnsi="仿宋_GB2312" w:eastAsia="仿宋_GB2312" w:cs="仿宋_GB2312"/>
                <w:spacing w:val="2"/>
                <w:sz w:val="21"/>
                <w:szCs w:val="21"/>
                <w:lang w:eastAsia="zh-CN"/>
              </w:rPr>
              <w:t>的确定：投标人投标价的算术平均值作为评标基准价。</w:t>
            </w:r>
          </w:p>
        </w:tc>
      </w:tr>
      <w:tr>
        <w:tblPrEx>
          <w:tblCellMar>
            <w:top w:w="0" w:type="dxa"/>
            <w:left w:w="0" w:type="dxa"/>
            <w:bottom w:w="0" w:type="dxa"/>
            <w:right w:w="0" w:type="dxa"/>
          </w:tblCellMar>
        </w:tblPrEx>
        <w:trPr>
          <w:trHeight w:val="3245" w:hRule="atLeast"/>
        </w:trPr>
        <w:tc>
          <w:tcPr>
            <w:tcW w:w="709" w:type="dxa"/>
            <w:vMerge w:val="continue"/>
            <w:tcBorders>
              <w:top w:val="single" w:color="auto" w:sz="4" w:space="0"/>
              <w:left w:val="single" w:color="auto" w:sz="4" w:space="0"/>
              <w:bottom w:val="single" w:color="auto" w:sz="4" w:space="0"/>
              <w:right w:val="single" w:color="000000" w:sz="4" w:space="0"/>
            </w:tcBorders>
            <w:noWrap w:val="0"/>
            <w:vAlign w:val="center"/>
          </w:tcPr>
          <w:p>
            <w:pPr>
              <w:snapToGrid w:val="0"/>
              <w:spacing w:after="0" w:line="360" w:lineRule="auto"/>
              <w:ind w:left="399" w:hanging="399"/>
              <w:jc w:val="center"/>
              <w:rPr>
                <w:rFonts w:hint="eastAsia" w:ascii="仿宋_GB2312" w:hAnsi="仿宋_GB2312" w:eastAsia="仿宋_GB2312" w:cs="仿宋_GB2312"/>
                <w:sz w:val="21"/>
                <w:szCs w:val="21"/>
                <w:lang w:eastAsia="zh-CN"/>
              </w:rPr>
            </w:pPr>
          </w:p>
        </w:tc>
        <w:tc>
          <w:tcPr>
            <w:tcW w:w="2693" w:type="dxa"/>
            <w:vMerge w:val="continue"/>
            <w:tcBorders>
              <w:top w:val="single" w:color="auto" w:sz="4" w:space="0"/>
              <w:left w:val="single" w:color="000000" w:sz="4" w:space="0"/>
              <w:bottom w:val="single" w:color="auto" w:sz="4" w:space="0"/>
              <w:right w:val="single" w:color="000000" w:sz="4" w:space="0"/>
            </w:tcBorders>
            <w:noWrap w:val="0"/>
            <w:vAlign w:val="center"/>
          </w:tcPr>
          <w:p>
            <w:pPr>
              <w:snapToGrid w:val="0"/>
              <w:spacing w:after="0" w:line="360" w:lineRule="exact"/>
              <w:jc w:val="both"/>
              <w:rPr>
                <w:rFonts w:hint="eastAsia" w:ascii="仿宋_GB2312" w:hAnsi="仿宋_GB2312" w:eastAsia="仿宋_GB2312" w:cs="仿宋_GB2312"/>
                <w:sz w:val="21"/>
                <w:szCs w:val="21"/>
                <w:lang w:eastAsia="zh-CN"/>
              </w:rPr>
            </w:pPr>
          </w:p>
        </w:tc>
        <w:tc>
          <w:tcPr>
            <w:tcW w:w="851" w:type="dxa"/>
            <w:vMerge w:val="continue"/>
            <w:tcBorders>
              <w:top w:val="single" w:color="auto" w:sz="4" w:space="0"/>
              <w:left w:val="single" w:color="000000" w:sz="4" w:space="0"/>
              <w:bottom w:val="single" w:color="auto" w:sz="4" w:space="0"/>
              <w:right w:val="single" w:color="000000" w:sz="4" w:space="0"/>
            </w:tcBorders>
            <w:noWrap w:val="0"/>
            <w:vAlign w:val="center"/>
          </w:tcPr>
          <w:p>
            <w:pPr>
              <w:snapToGrid w:val="0"/>
              <w:spacing w:after="0" w:line="360" w:lineRule="exact"/>
              <w:ind w:left="399" w:hanging="399"/>
              <w:jc w:val="both"/>
              <w:rPr>
                <w:rFonts w:hint="eastAsia" w:ascii="仿宋_GB2312" w:hAnsi="仿宋_GB2312" w:eastAsia="仿宋_GB2312" w:cs="仿宋_GB2312"/>
                <w:sz w:val="21"/>
                <w:szCs w:val="21"/>
                <w:u w:val="single"/>
                <w:lang w:eastAsia="zh-CN"/>
              </w:rPr>
            </w:pPr>
          </w:p>
        </w:tc>
        <w:tc>
          <w:tcPr>
            <w:tcW w:w="212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after="0" w:line="360" w:lineRule="exact"/>
              <w:jc w:val="both"/>
              <w:rPr>
                <w:rFonts w:hint="eastAsia" w:ascii="仿宋_GB2312" w:hAnsi="仿宋_GB2312" w:eastAsia="仿宋_GB2312" w:cs="仿宋_GB2312"/>
                <w:sz w:val="21"/>
                <w:szCs w:val="21"/>
                <w:lang w:eastAsia="zh-CN"/>
              </w:rPr>
            </w:pPr>
          </w:p>
        </w:tc>
        <w:tc>
          <w:tcPr>
            <w:tcW w:w="992" w:type="dxa"/>
            <w:vMerge w:val="continue"/>
            <w:tcBorders>
              <w:top w:val="single" w:color="auto" w:sz="4" w:space="0"/>
              <w:left w:val="single" w:color="000000" w:sz="4" w:space="0"/>
              <w:bottom w:val="single" w:color="auto" w:sz="4" w:space="0"/>
              <w:right w:val="single" w:color="auto" w:sz="4" w:space="0"/>
            </w:tcBorders>
            <w:noWrap w:val="0"/>
            <w:vAlign w:val="center"/>
          </w:tcPr>
          <w:p>
            <w:pPr>
              <w:spacing w:after="0" w:line="360" w:lineRule="exact"/>
              <w:jc w:val="both"/>
              <w:rPr>
                <w:rFonts w:hint="eastAsia" w:ascii="仿宋_GB2312" w:hAnsi="仿宋_GB2312" w:eastAsia="仿宋_GB2312" w:cs="仿宋_GB2312"/>
                <w:sz w:val="21"/>
                <w:szCs w:val="21"/>
                <w:u w:val="single"/>
                <w:lang w:eastAsia="zh-CN"/>
              </w:rPr>
            </w:pPr>
          </w:p>
        </w:tc>
        <w:tc>
          <w:tcPr>
            <w:tcW w:w="7088" w:type="dxa"/>
            <w:tcBorders>
              <w:top w:val="single" w:color="000000" w:sz="4" w:space="0"/>
              <w:left w:val="single" w:color="auto" w:sz="4" w:space="0"/>
              <w:bottom w:val="single" w:color="000000" w:sz="4" w:space="0"/>
              <w:right w:val="single" w:color="000000" w:sz="4" w:space="0"/>
            </w:tcBorders>
            <w:noWrap w:val="0"/>
            <w:vAlign w:val="center"/>
          </w:tcPr>
          <w:p>
            <w:pPr>
              <w:pStyle w:val="3"/>
              <w:spacing w:line="360" w:lineRule="exact"/>
              <w:ind w:left="-2" w:leftChars="-1" w:firstLine="105" w:firstLineChars="50"/>
              <w:rPr>
                <w:rFonts w:hint="eastAsia" w:ascii="仿宋_GB2312" w:hAnsi="仿宋_GB2312" w:eastAsia="仿宋_GB2312" w:cs="仿宋_GB2312"/>
                <w:kern w:val="0"/>
              </w:rPr>
            </w:pPr>
            <w:r>
              <w:rPr>
                <w:rFonts w:hint="eastAsia" w:ascii="仿宋_GB2312" w:hAnsi="仿宋_GB2312" w:eastAsia="仿宋_GB2312" w:cs="仿宋_GB2312"/>
                <w:kern w:val="0"/>
              </w:rPr>
              <w:t>投标价得分计算公式：</w:t>
            </w:r>
          </w:p>
          <w:p>
            <w:pPr>
              <w:pStyle w:val="3"/>
              <w:spacing w:line="360" w:lineRule="exact"/>
              <w:ind w:left="103" w:leftChars="-1" w:hanging="105" w:hangingChars="50"/>
              <w:rPr>
                <w:rFonts w:hint="eastAsia" w:ascii="仿宋_GB2312" w:hAnsi="仿宋_GB2312" w:eastAsia="仿宋_GB2312" w:cs="仿宋_GB2312"/>
                <w:kern w:val="0"/>
              </w:rPr>
            </w:pPr>
            <w:r>
              <w:rPr>
                <w:rFonts w:hint="eastAsia" w:ascii="仿宋_GB2312" w:hAnsi="仿宋_GB2312" w:eastAsia="仿宋_GB2312" w:cs="仿宋_GB2312"/>
                <w:kern w:val="0"/>
              </w:rPr>
              <w:t>（1）如果投标人的评标价&gt;评标基准价，则投标价得分＝F－（投标人投标价－评标基准价）/评标基准价×100×E1；</w:t>
            </w:r>
          </w:p>
          <w:p>
            <w:pPr>
              <w:pStyle w:val="3"/>
              <w:spacing w:line="360" w:lineRule="exact"/>
              <w:ind w:left="103" w:leftChars="-1" w:hanging="105" w:hangingChars="50"/>
              <w:rPr>
                <w:rFonts w:hint="eastAsia" w:ascii="仿宋_GB2312" w:hAnsi="仿宋_GB2312" w:eastAsia="仿宋_GB2312" w:cs="仿宋_GB2312"/>
                <w:kern w:val="0"/>
              </w:rPr>
            </w:pPr>
            <w:r>
              <w:rPr>
                <w:rFonts w:hint="eastAsia" w:ascii="仿宋_GB2312" w:hAnsi="仿宋_GB2312" w:eastAsia="仿宋_GB2312" w:cs="仿宋_GB2312"/>
                <w:kern w:val="0"/>
              </w:rPr>
              <w:t>（2）如果投标人的投标价≤评标基准价，则投标价得分＝F＋（投标人投标价－评标基准价）评标基准价×100×E2。</w:t>
            </w:r>
          </w:p>
          <w:p>
            <w:pPr>
              <w:pStyle w:val="3"/>
              <w:spacing w:line="360" w:lineRule="exact"/>
              <w:ind w:left="103" w:leftChars="47"/>
              <w:rPr>
                <w:rFonts w:hint="eastAsia" w:ascii="仿宋_GB2312" w:hAnsi="仿宋_GB2312" w:eastAsia="仿宋_GB2312" w:cs="仿宋_GB2312"/>
                <w:spacing w:val="1"/>
                <w:kern w:val="0"/>
              </w:rPr>
            </w:pPr>
            <w:r>
              <w:rPr>
                <w:rFonts w:hint="eastAsia" w:ascii="仿宋_GB2312" w:hAnsi="仿宋_GB2312" w:eastAsia="仿宋_GB2312" w:cs="仿宋_GB2312"/>
                <w:kern w:val="0"/>
              </w:rPr>
              <w:t>其中，F是投标价所占的评分满分值，E1是投标价每高于评标基准价一个百分点的扣</w:t>
            </w:r>
            <w:r>
              <w:rPr>
                <w:rFonts w:hint="eastAsia" w:ascii="仿宋_GB2312" w:hAnsi="仿宋_GB2312" w:eastAsia="仿宋_GB2312" w:cs="仿宋_GB2312"/>
                <w:kern w:val="0"/>
                <w:lang w:val="en-US" w:eastAsia="zh-CN"/>
              </w:rPr>
              <w:t>1</w:t>
            </w:r>
            <w:r>
              <w:rPr>
                <w:rFonts w:hint="eastAsia" w:ascii="仿宋_GB2312" w:hAnsi="仿宋_GB2312" w:eastAsia="仿宋_GB2312" w:cs="仿宋_GB2312"/>
                <w:kern w:val="0"/>
              </w:rPr>
              <w:t>分；E2是投标价每低于评标基准价一个百分点的扣</w:t>
            </w:r>
            <w:r>
              <w:rPr>
                <w:rFonts w:hint="eastAsia" w:ascii="仿宋_GB2312" w:hAnsi="仿宋_GB2312" w:eastAsia="仿宋_GB2312" w:cs="仿宋_GB2312"/>
                <w:kern w:val="0"/>
                <w:lang w:val="en-US" w:eastAsia="zh-CN"/>
              </w:rPr>
              <w:t>0.5</w:t>
            </w:r>
            <w:r>
              <w:rPr>
                <w:rFonts w:hint="eastAsia" w:ascii="仿宋_GB2312" w:hAnsi="仿宋_GB2312" w:eastAsia="仿宋_GB2312" w:cs="仿宋_GB2312"/>
                <w:kern w:val="0"/>
              </w:rPr>
              <w:t>分，评标价最低得分为0分。</w:t>
            </w:r>
          </w:p>
        </w:tc>
      </w:tr>
    </w:tbl>
    <w:p>
      <w:pPr>
        <w:widowControl w:val="0"/>
        <w:autoSpaceDE w:val="0"/>
        <w:autoSpaceDN w:val="0"/>
        <w:adjustRightInd w:val="0"/>
        <w:spacing w:before="36" w:after="0" w:line="360" w:lineRule="auto"/>
        <w:ind w:right="-1"/>
        <w:rPr>
          <w:rFonts w:hint="eastAsia" w:ascii="仿宋_GB2312" w:hAnsi="仿宋_GB2312" w:eastAsia="仿宋_GB2312" w:cs="仿宋_GB2312"/>
          <w:sz w:val="21"/>
          <w:szCs w:val="21"/>
          <w:shd w:val="clear" w:color="auto" w:fill="FFFFFF"/>
          <w:lang w:eastAsia="zh-CN"/>
        </w:rPr>
      </w:pPr>
      <w:r>
        <w:rPr>
          <w:rFonts w:hint="eastAsia" w:ascii="仿宋_GB2312" w:hAnsi="仿宋_GB2312" w:eastAsia="仿宋_GB2312" w:cs="仿宋_GB2312"/>
          <w:sz w:val="21"/>
          <w:szCs w:val="21"/>
          <w:lang w:eastAsia="zh-CN"/>
        </w:rPr>
        <w:t>注：1.</w:t>
      </w:r>
      <w:r>
        <w:rPr>
          <w:rFonts w:hint="eastAsia" w:ascii="仿宋_GB2312" w:hAnsi="仿宋_GB2312" w:eastAsia="仿宋_GB2312" w:cs="仿宋_GB2312"/>
          <w:sz w:val="21"/>
          <w:szCs w:val="21"/>
          <w:shd w:val="clear" w:color="auto" w:fill="FFFFFF"/>
          <w:lang w:eastAsia="zh-CN"/>
        </w:rPr>
        <w:t>扣分不得超过各评审因素的40%，非硬性指标必须附说明。</w:t>
      </w:r>
    </w:p>
    <w:p>
      <w:r>
        <w:rPr>
          <w:rFonts w:hint="eastAsia" w:ascii="仿宋_GB2312" w:hAnsi="仿宋_GB2312" w:eastAsia="仿宋_GB2312" w:cs="仿宋_GB2312"/>
          <w:sz w:val="21"/>
          <w:szCs w:val="21"/>
          <w:shd w:val="clear" w:color="auto" w:fill="FFFFFF"/>
          <w:lang w:eastAsia="zh-CN"/>
        </w:rPr>
        <w:t>2.总得分应以评标委员会的打分平均值确定。</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00C36"/>
    <w:rsid w:val="2D7F0DD2"/>
    <w:rsid w:val="349D6F12"/>
    <w:rsid w:val="3DE84749"/>
    <w:rsid w:val="5718357C"/>
    <w:rsid w:val="578A1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style>
  <w:style w:type="paragraph" w:styleId="3">
    <w:name w:val="Plain Text"/>
    <w:basedOn w:val="1"/>
    <w:qFormat/>
    <w:uiPriority w:val="0"/>
    <w:pPr>
      <w:widowControl w:val="0"/>
      <w:spacing w:after="0" w:afterLines="0" w:line="240" w:lineRule="auto"/>
      <w:jc w:val="both"/>
    </w:pPr>
    <w:rPr>
      <w:rFonts w:ascii="宋体" w:hAnsi="Courier New" w:cs="Courier New"/>
      <w:kern w:val="2"/>
      <w:sz w:val="21"/>
      <w:szCs w:val="21"/>
      <w:lang w:eastAsia="zh-CN"/>
    </w:rPr>
  </w:style>
  <w:style w:type="character" w:customStyle="1" w:styleId="6">
    <w:name w:val="ca-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2019-11-18T04:37:00Z</dcterms:created>
  <dc:creator>Administrator</dc:creator>
  <cp:lastModifiedBy>NTKO</cp:lastModifiedBy>
  <dcterms:modified xsi:type="dcterms:W3CDTF">2019-11-21T06:58:28Z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