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ascii="方正小标宋简体" w:eastAsia="方正小标宋简体" w:cs="方正仿宋_GBK"/>
          <w:sz w:val="28"/>
          <w:szCs w:val="28"/>
        </w:rPr>
      </w:pPr>
      <w:bookmarkStart w:id="0" w:name="_GoBack"/>
      <w:r>
        <w:rPr>
          <w:rFonts w:hint="eastAsia" w:ascii="方正小标宋简体" w:eastAsia="方正小标宋简体" w:cs="方正仿宋_GBK"/>
          <w:sz w:val="28"/>
          <w:szCs w:val="28"/>
        </w:rPr>
        <w:t>公路养护作业单位资质标准主要机械设备配备表</w:t>
      </w:r>
    </w:p>
    <w:bookmarkEnd w:id="0"/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2551"/>
        <w:gridCol w:w="354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资质</w:t>
            </w:r>
          </w:p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序列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等级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设备名称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路基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路面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甲级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振动压路机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12t以上双驱双振压路机；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25t以上胶轮压路机；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20t及以上单钢轮振动压路机；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小型压路机。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各1台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（共4台）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铣刨设备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宽度≥2m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*沥青混合料拌和楼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120t/h及以上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水泥混凝土拌合设备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50 m</w:t>
            </w:r>
            <w:r>
              <w:rPr>
                <w:rFonts w:hint="eastAsia" w:ascii="仿宋_GB2312" w:eastAsia="仿宋_GB2312" w:cs="方正仿宋_GBK"/>
                <w:sz w:val="24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 w:cs="方正仿宋_GBK"/>
                <w:sz w:val="24"/>
                <w:szCs w:val="28"/>
              </w:rPr>
              <w:t>/h及以上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*摊铺机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摊铺宽度9m以上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*稀浆封层车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20t及以上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路面再生设备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宽度≥2m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*沥青洒布车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乙级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振动压路机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12t以上双驱双振压路机；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25t以上胶轮压路机；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20t及以上单钢轮振动压路机；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小型压路机。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各1台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（共4台）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铣刨设备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宽度≥2m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沥青混合料拌和楼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120t/h及以上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水泥混凝土拌合设备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50立方m/h及以上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*摊铺机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摊铺宽度9m以上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*稀浆封层车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20t及以上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路面再生设备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宽度≥2m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*沥青洒布车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资质</w:t>
            </w:r>
          </w:p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序列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等级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设备名称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桥梁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甲级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*位移同步顶升系统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同步精度1mm，且不低于10000t顶升能力。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*高空作业车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宽度≥2m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液压破碎机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工作压力≥10MPa，</w:t>
            </w:r>
          </w:p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流量≥30L/min,功率≥30kw。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*除锈喷涂设备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喷涂压力10 MPa以上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*高压水泵及喷射枪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压力≥1 MPa，流量8-10m</w:t>
            </w:r>
            <w:r>
              <w:rPr>
                <w:rFonts w:hint="eastAsia" w:ascii="仿宋_GB2312" w:eastAsia="仿宋_GB2312" w:cs="方正仿宋_GBK"/>
                <w:sz w:val="24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 w:cs="方正仿宋_GBK"/>
                <w:sz w:val="24"/>
                <w:szCs w:val="28"/>
              </w:rPr>
              <w:t>/h。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混凝土输送泵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*钢筋加工设备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吊车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20t以上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乙级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*位移同步顶升系统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同步精度1mm，且不低于10000t顶升能力。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*高空作业车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宽度≥2m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液压破碎机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工作压力≥10MPa，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流量≥30L/min,功率≥30kw。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*除锈喷涂设备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喷涂压力10 MPa以上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*高压水泵及喷射枪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压力≥1 MPa，流量8-10m</w:t>
            </w:r>
            <w:r>
              <w:rPr>
                <w:rFonts w:hint="eastAsia" w:ascii="仿宋_GB2312" w:eastAsia="仿宋_GB2312" w:cs="方正仿宋_GBK"/>
                <w:sz w:val="24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 w:cs="方正仿宋_GBK"/>
                <w:sz w:val="24"/>
                <w:szCs w:val="28"/>
              </w:rPr>
              <w:t>/h。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混凝土输送泵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*钢筋加工设备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吊车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20t以上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</w:tbl>
    <w:p/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2551"/>
        <w:gridCol w:w="354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资质</w:t>
            </w:r>
          </w:p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序列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等级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设备名称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隧道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甲级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*位移同步顶升系统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同步精度1mm，且不低于10000t顶升能力。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吊车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25t以上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*衬砌台车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整体式模板台车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*风动凿岩机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*锚杆机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单体式1.2Kw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*混凝土湿喷机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水泥混凝土拌和设备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50 m</w:t>
            </w:r>
            <w:r>
              <w:rPr>
                <w:rFonts w:hint="eastAsia" w:ascii="仿宋_GB2312" w:eastAsia="仿宋_GB2312" w:cs="方正仿宋_GBK"/>
                <w:sz w:val="24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 w:cs="方正仿宋_GBK"/>
                <w:sz w:val="24"/>
                <w:szCs w:val="28"/>
              </w:rPr>
              <w:t>/h及以上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水泥混凝土运输罐车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6 m</w:t>
            </w:r>
            <w:r>
              <w:rPr>
                <w:rFonts w:hint="eastAsia" w:ascii="仿宋_GB2312" w:eastAsia="仿宋_GB2312" w:cs="方正仿宋_GBK"/>
                <w:sz w:val="24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 w:cs="方正仿宋_GBK"/>
                <w:sz w:val="24"/>
                <w:szCs w:val="28"/>
              </w:rPr>
              <w:t>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*压浆设备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输送泵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乙级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*位移同步顶升系统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同步精度1mm，且不低于10000t顶升能力。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吊车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25t以上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*衬砌台车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整体式模板台车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*风动凿岩机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*锚杆机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单体式1.2Kw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*混凝土湿喷机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1套</w:t>
            </w:r>
          </w:p>
        </w:tc>
      </w:tr>
    </w:tbl>
    <w:p/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2551"/>
        <w:gridCol w:w="354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资质</w:t>
            </w:r>
          </w:p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序列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等级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设备名称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b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b/>
                <w:sz w:val="24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交通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安全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设施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不分</w:t>
            </w:r>
          </w:p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等级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*升降机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升降高度14m以上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吊车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起吊重量20t以上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*热熔或常温划线机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容量100Kg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放线设备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放线速度40m/min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底漆高压喷涂机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喷涂压力0.5MPa，喷涂宽度100-450mm。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涂层测厚机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精度1%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*打桩机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冲击能力＞200N.m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*交通标志逆反射系数测试仪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*逆反射标线测量仪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993" w:type="dxa"/>
            <w:vMerge w:val="continue"/>
            <w:vAlign w:val="center"/>
          </w:tcPr>
          <w:p/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*水准仪、经纬仪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方正仿宋_GBK"/>
                <w:sz w:val="24"/>
                <w:szCs w:val="28"/>
              </w:rPr>
            </w:pPr>
            <w:r>
              <w:rPr>
                <w:rFonts w:hint="eastAsia" w:ascii="仿宋_GB2312" w:eastAsia="仿宋_GB2312" w:cs="方正仿宋_GBK"/>
                <w:sz w:val="24"/>
                <w:szCs w:val="28"/>
              </w:rPr>
              <w:t>2台</w:t>
            </w:r>
          </w:p>
        </w:tc>
      </w:tr>
    </w:tbl>
    <w:p>
      <w:pPr>
        <w:spacing w:line="560" w:lineRule="exact"/>
        <w:jc w:val="left"/>
        <w:rPr>
          <w:rFonts w:ascii="仿宋_GB2312" w:eastAsia="仿宋_GB2312" w:cs="方正仿宋_GBK"/>
          <w:sz w:val="24"/>
          <w:szCs w:val="28"/>
        </w:rPr>
      </w:pPr>
      <w:r>
        <w:rPr>
          <w:rFonts w:hint="eastAsia" w:ascii="仿宋_GB2312" w:eastAsia="仿宋_GB2312" w:cs="方正仿宋_GBK"/>
          <w:sz w:val="24"/>
          <w:szCs w:val="28"/>
        </w:rPr>
        <w:t>注：标*设备为企业自有设备，其余设备可租赁。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5FE1"/>
    <w:rsid w:val="61C26831"/>
    <w:rsid w:val="795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Lines="100" w:afterLines="100" w:line="560" w:lineRule="exact"/>
      <w:jc w:val="center"/>
      <w:outlineLvl w:val="1"/>
    </w:pPr>
    <w:rPr>
      <w:rFonts w:ascii="Times New Roman" w:eastAsia="方正小标宋_GBK" w:cs="Times New Roman"/>
      <w:color w:val="000000"/>
      <w:kern w:val="0"/>
      <w:sz w:val="36"/>
      <w:szCs w:val="24"/>
      <w:lang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2022-02-14T04:32:00Z</dcterms:created>
  <dc:creator>       。</dc:creator>
  <cp:lastModifiedBy>       。</cp:lastModifiedBy>
  <dcterms:modified xsi:type="dcterms:W3CDTF">2022-02-14T04:34:49Z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04AE19B36F5A4D7DBF81636C68D87B36</vt:lpwstr>
  </property>
</Properties>
</file>