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after="156" w:afterLines="50" w:line="800" w:lineRule="exact"/>
        <w:jc w:val="center"/>
        <w:rPr>
          <w:rFonts w:eastAsia="方正小标宋简体"/>
          <w:bCs/>
          <w:sz w:val="72"/>
          <w:szCs w:val="72"/>
        </w:rPr>
      </w:pPr>
      <w:bookmarkStart w:id="0" w:name="_GoBack"/>
      <w:r>
        <w:rPr>
          <w:rFonts w:eastAsia="方正小标宋简体"/>
          <w:bCs/>
          <w:sz w:val="72"/>
          <w:szCs w:val="72"/>
        </w:rPr>
        <w:t>公路养护工程参建单位</w:t>
      </w:r>
    </w:p>
    <w:p>
      <w:pPr>
        <w:adjustRightInd w:val="0"/>
        <w:snapToGrid w:val="0"/>
        <w:spacing w:after="156" w:afterLines="50" w:line="800" w:lineRule="exact"/>
        <w:jc w:val="center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工作总结报告</w:t>
      </w:r>
      <w:bookmarkEnd w:id="0"/>
    </w:p>
    <w:p>
      <w:pPr>
        <w:adjustRightInd w:val="0"/>
        <w:snapToGrid w:val="0"/>
        <w:spacing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jc w:val="center"/>
        <w:rPr>
          <w:rFonts w:eastAsia="黑体"/>
          <w:bCs/>
          <w:sz w:val="48"/>
          <w:szCs w:val="48"/>
        </w:rPr>
      </w:pPr>
      <w:r>
        <w:rPr>
          <w:rFonts w:eastAsia="黑体"/>
          <w:bCs/>
          <w:sz w:val="48"/>
          <w:szCs w:val="48"/>
        </w:rPr>
        <w:t>（项目名称）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after="156" w:afterLines="50" w:line="560" w:lineRule="exact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年    月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after="156" w:afterLines="50"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br w:type="page"/>
      </w:r>
      <w:r>
        <w:rPr>
          <w:rFonts w:eastAsia="方正小标宋简体"/>
          <w:bCs/>
          <w:sz w:val="44"/>
          <w:szCs w:val="44"/>
        </w:rPr>
        <w:t>第一部分  项目执行报告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sz w:val="32"/>
          <w:szCs w:val="28"/>
        </w:rPr>
      </w:pP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一、概况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（一）建设依据。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（二）养护方案。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（三）工程进度。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（四）项目投资及来源。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（五）主要工程数量。</w:t>
      </w:r>
    </w:p>
    <w:p>
      <w:pPr>
        <w:overflowPunct w:val="0"/>
        <w:topLinePunct/>
        <w:adjustRightInd w:val="0"/>
        <w:snapToGrid w:val="0"/>
        <w:spacing w:line="560" w:lineRule="exact"/>
        <w:ind w:firstLine="616" w:firstLineChars="200"/>
        <w:rPr>
          <w:rFonts w:eastAsia="仿宋_GB2312"/>
          <w:sz w:val="32"/>
          <w:szCs w:val="28"/>
        </w:rPr>
      </w:pPr>
      <w:r>
        <w:rPr>
          <w:rFonts w:eastAsia="仿宋_GB2312"/>
          <w:spacing w:val="-6"/>
          <w:sz w:val="32"/>
          <w:szCs w:val="28"/>
        </w:rPr>
        <w:t>（六）主要参建单位，包括设计、施工、监理等单位一览表。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二、建设管理情况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（一）前期工作。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1.设计单位招标。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2.施工单位招标。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3.监理单位招标。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（二）征地拆迁。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（三）项目管理。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1.项目管理机构设置及职能。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2.质量控制措施与效果（包括发生重大及以上质量事故及处理情况）。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3.安全生产（包括发生重大及以上生产安全事故及处理情况）。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4.进度管理。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5.工程变更。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6.工程造价控制（包括工程决算、工程款支付）。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7.廉政建设（包括措施建设和执行，有无人员违法、违纪，以及因不廉政被处分或被起诉）。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8.其它情况。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三、验收及相关问题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（一）第三方检测报告中存在主要问题及处理情况。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（三）竣工决算、审计情况。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四、科研和新技术应用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五、对各参与单位的总体评价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（一）对设计单位的评价。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（二）对施工单位的评价。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（三）对监理单位的评价。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六、对工程质量的总体评价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七、项目管理体会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注：对建设规模、标准、工程数量、造价等有较大变更或变更较多的，应增加附表与批复情况对比，并说明理由。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28"/>
        </w:rPr>
      </w:pPr>
    </w:p>
    <w:p>
      <w:pPr>
        <w:overflowPunct w:val="0"/>
        <w:topLinePunct/>
        <w:adjustRightInd w:val="0"/>
        <w:snapToGrid w:val="0"/>
        <w:spacing w:line="560" w:lineRule="exact"/>
        <w:jc w:val="center"/>
        <w:rPr>
          <w:rFonts w:eastAsia="仿宋_GB2312"/>
          <w:b/>
          <w:sz w:val="32"/>
          <w:szCs w:val="28"/>
        </w:rPr>
      </w:pPr>
      <w:r>
        <w:rPr>
          <w:rFonts w:eastAsia="仿宋_GB2312"/>
          <w:b/>
          <w:sz w:val="32"/>
          <w:szCs w:val="28"/>
        </w:rPr>
        <w:br w:type="page"/>
      </w:r>
      <w:r>
        <w:rPr>
          <w:rFonts w:eastAsia="方正小标宋简体"/>
          <w:bCs/>
          <w:sz w:val="44"/>
          <w:szCs w:val="44"/>
        </w:rPr>
        <w:t>第二部分  设计工作报告</w:t>
      </w:r>
    </w:p>
    <w:p>
      <w:pPr>
        <w:overflowPunct w:val="0"/>
        <w:topLinePunct/>
        <w:adjustRightInd w:val="0"/>
        <w:snapToGrid w:val="0"/>
        <w:spacing w:before="156" w:beforeLines="50" w:line="560" w:lineRule="exact"/>
        <w:ind w:firstLine="640" w:firstLineChars="200"/>
        <w:rPr>
          <w:rFonts w:eastAsia="黑体"/>
          <w:sz w:val="32"/>
          <w:szCs w:val="28"/>
        </w:rPr>
      </w:pP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一、概况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（一）任务来源及依据。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（二）沿线自然地理概况。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（三）主要技术指标的运用情况。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二、设计要点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（一）路基、排水及支挡养护工程设计。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（二）路面养护工程设计。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（三）桥梁、涵洞养护工程设计。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（四）隧道养护工程设计。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（五）交通安全设施养护工程设计。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（六）绿化养护工程设计。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三、施工期间设计服务情况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四、设计变更情况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（一）重大设计变更理由。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（二）设计中存在问题的变更。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（三）设计变更一览表（与原设计工程量和造价比较）。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五、预算执行情况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对照工程决算分析施工图预算执行情况。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六、设计体会</w:t>
      </w: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28"/>
        </w:rPr>
      </w:pPr>
    </w:p>
    <w:p>
      <w:pPr>
        <w:overflowPunct w:val="0"/>
        <w:topLinePunct/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第三部分  施工工作报告</w:t>
      </w:r>
    </w:p>
    <w:p>
      <w:pPr>
        <w:adjustRightInd w:val="0"/>
        <w:snapToGrid w:val="0"/>
        <w:spacing w:before="156" w:beforeLines="50" w:line="560" w:lineRule="exact"/>
        <w:rPr>
          <w:rFonts w:eastAsia="黑体"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一、工程概况</w:t>
      </w:r>
    </w:p>
    <w:p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养护工程起止时间、主要工程内容。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二、机构组成</w:t>
      </w:r>
    </w:p>
    <w:p>
      <w:pPr>
        <w:adjustRightInd w:val="0"/>
        <w:snapToGrid w:val="0"/>
        <w:spacing w:line="560" w:lineRule="exact"/>
        <w:ind w:firstLine="56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主要人员、设备投入情况、管理机构设置。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三、质量管理情况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仿宋_GB2312"/>
          <w:sz w:val="32"/>
          <w:szCs w:val="28"/>
        </w:rPr>
        <w:t>质量控制措施；施工中工程质量自检情况及工程质量问题的处理情况；对完工质量的评价。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四、施工进度控制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五、施工安全与文明施工情况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六、环境保护与节约用地措施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七、施工中新技术、新材料、新工艺的应用情况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八、工程款支付情况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承认工程款全部支付到位，一切劳务、机械、材料等债务纠纷与建设单位无关。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九、施工体会</w:t>
      </w:r>
    </w:p>
    <w:p>
      <w:pPr>
        <w:adjustRightInd w:val="0"/>
        <w:snapToGrid w:val="0"/>
        <w:spacing w:line="560" w:lineRule="exact"/>
        <w:ind w:firstLine="573"/>
        <w:jc w:val="center"/>
        <w:rPr>
          <w:rFonts w:eastAsia="仿宋_GB2312"/>
          <w:b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573"/>
        <w:jc w:val="center"/>
        <w:rPr>
          <w:rFonts w:eastAsia="仿宋_GB2312"/>
          <w:b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573"/>
        <w:jc w:val="center"/>
        <w:rPr>
          <w:rFonts w:eastAsia="仿宋_GB2312"/>
          <w:b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573"/>
        <w:jc w:val="center"/>
        <w:rPr>
          <w:rFonts w:eastAsia="仿宋_GB2312"/>
          <w:b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573"/>
        <w:jc w:val="center"/>
        <w:rPr>
          <w:rFonts w:eastAsia="仿宋_GB2312"/>
          <w:b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573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第四部分  监理工作报告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eastAsia="黑体"/>
          <w:sz w:val="32"/>
          <w:szCs w:val="28"/>
        </w:rPr>
      </w:pP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一、监理工作概况</w:t>
      </w:r>
    </w:p>
    <w:p>
      <w:pPr>
        <w:overflowPunct w:val="0"/>
        <w:topLinePunct/>
        <w:adjustRightInd w:val="0"/>
        <w:snapToGrid w:val="0"/>
        <w:spacing w:line="560" w:lineRule="exact"/>
        <w:ind w:firstLine="56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合同段监理组织形式、管理结构、人员投入情况。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二、工程质量管理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质量管理措施；施工过程中质量检查情况汇总；质量问题和事故处理情况总结；工程质量评定情况。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三、计量支付、工程进度和合同管理情况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四、设计变更情况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五、交工验收中存在问题及处理情况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六、监理体会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F4BA6"/>
    <w:rsid w:val="25BF4BA6"/>
    <w:rsid w:val="59D326F7"/>
    <w:rsid w:val="6059446B"/>
    <w:rsid w:val="7C2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2024-12-02T03:56:00Z</dcterms:created>
  <dc:creator>       。</dc:creator>
  <cp:lastModifiedBy>       。</cp:lastModifiedBy>
  <dcterms:modified xsi:type="dcterms:W3CDTF">2024-12-02T04:01:16Z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